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BBFE4" w14:textId="77777777" w:rsidR="00327B98" w:rsidRPr="00327B98" w:rsidRDefault="00327B98" w:rsidP="00327B98">
      <w:pPr>
        <w:spacing w:before="100" w:beforeAutospacing="1" w:after="100" w:afterAutospacing="1" w:line="240" w:lineRule="auto"/>
        <w:jc w:val="center"/>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CLT 3371</w:t>
      </w:r>
    </w:p>
    <w:p w14:paraId="5BED7D65" w14:textId="77777777" w:rsidR="00327B98" w:rsidRPr="00327B98" w:rsidRDefault="00327B98" w:rsidP="00327B98">
      <w:pPr>
        <w:spacing w:before="100" w:beforeAutospacing="1" w:after="100" w:afterAutospacing="1" w:line="240" w:lineRule="auto"/>
        <w:jc w:val="center"/>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RELIGIONS OF GRECO-ROMAN WORLD</w:t>
      </w:r>
    </w:p>
    <w:p w14:paraId="641D256D" w14:textId="65867C43" w:rsidR="00327B98" w:rsidRPr="00327B98" w:rsidRDefault="00327B98" w:rsidP="003D319D">
      <w:pPr>
        <w:spacing w:before="100" w:beforeAutospacing="1" w:after="100" w:afterAutospacing="1" w:line="240" w:lineRule="auto"/>
        <w:jc w:val="center"/>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SPRING 202</w:t>
      </w:r>
      <w:r w:rsidR="003D319D">
        <w:rPr>
          <w:rFonts w:ascii="Times New Roman" w:eastAsia="Times New Roman" w:hAnsi="Times New Roman" w:cs="Times New Roman"/>
          <w:b/>
          <w:bCs/>
          <w:kern w:val="0"/>
          <w14:ligatures w14:val="none"/>
        </w:rPr>
        <w:t>6</w:t>
      </w:r>
      <w:r w:rsidRPr="00327B98">
        <w:rPr>
          <w:rFonts w:ascii="Times New Roman" w:eastAsia="Times New Roman" w:hAnsi="Times New Roman" w:cs="Times New Roman"/>
          <w:kern w:val="0"/>
          <w14:ligatures w14:val="none"/>
        </w:rPr>
        <w:t> </w:t>
      </w:r>
    </w:p>
    <w:p w14:paraId="4D31B4B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 xml:space="preserve">Instructor </w:t>
      </w:r>
    </w:p>
    <w:p w14:paraId="34D42FD5" w14:textId="7BBC8E40" w:rsidR="003D319D"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Dr. Chrysostomos Kostopoulos, </w:t>
      </w:r>
      <w:r w:rsidR="003037ED">
        <w:rPr>
          <w:rFonts w:ascii="Times New Roman" w:eastAsia="Times New Roman" w:hAnsi="Times New Roman" w:cs="Times New Roman"/>
          <w:kern w:val="0"/>
          <w14:ligatures w14:val="none"/>
        </w:rPr>
        <w:t xml:space="preserve">Department of </w:t>
      </w:r>
      <w:r w:rsidRPr="00327B98">
        <w:rPr>
          <w:rFonts w:ascii="Times New Roman" w:eastAsia="Times New Roman" w:hAnsi="Times New Roman" w:cs="Times New Roman"/>
          <w:kern w:val="0"/>
          <w14:ligatures w14:val="none"/>
        </w:rPr>
        <w:t>Classics, Center for EU Studies</w:t>
      </w:r>
    </w:p>
    <w:p w14:paraId="6E674C93" w14:textId="39124E91" w:rsidR="003D319D"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Contact Info: </w:t>
      </w:r>
      <w:hyperlink r:id="rId7" w:history="1">
        <w:r w:rsidRPr="00327B98">
          <w:rPr>
            <w:rFonts w:ascii="Times New Roman" w:eastAsia="Times New Roman" w:hAnsi="Times New Roman" w:cs="Times New Roman"/>
            <w:color w:val="0000FF"/>
            <w:kern w:val="0"/>
            <w:u w:val="single"/>
            <w14:ligatures w14:val="none"/>
          </w:rPr>
          <w:t>ckostopo@ufl.edu</w:t>
        </w:r>
      </w:hyperlink>
      <w:r w:rsidRPr="00327B98">
        <w:rPr>
          <w:rFonts w:ascii="Times New Roman" w:eastAsia="Times New Roman" w:hAnsi="Times New Roman" w:cs="Times New Roman"/>
          <w:kern w:val="0"/>
          <w14:ligatures w14:val="none"/>
        </w:rPr>
        <w:t>, 352-294-7146,</w:t>
      </w:r>
      <w:r w:rsidR="00F019BB" w:rsidRPr="00F019BB">
        <w:rPr>
          <w:rFonts w:ascii="Times New Roman" w:eastAsia="Times New Roman" w:hAnsi="Times New Roman" w:cs="Times New Roman"/>
          <w:b/>
          <w:bCs/>
          <w:kern w:val="0"/>
          <w14:ligatures w14:val="none"/>
        </w:rPr>
        <w:t> </w:t>
      </w:r>
      <w:r w:rsidR="00F019BB" w:rsidRPr="00F019BB">
        <w:rPr>
          <w:rFonts w:ascii="Times New Roman" w:eastAsia="Times New Roman" w:hAnsi="Times New Roman" w:cs="Times New Roman"/>
          <w:kern w:val="0"/>
          <w14:ligatures w14:val="none"/>
        </w:rPr>
        <w:t>115A Dauer Hall</w:t>
      </w:r>
    </w:p>
    <w:p w14:paraId="37A09076" w14:textId="77777777" w:rsidR="00313E1A"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Office Hours: MONDAY-WEDNESDAY-FRIDAY PERIOD </w:t>
      </w:r>
      <w:r w:rsidR="00313E1A">
        <w:rPr>
          <w:rFonts w:ascii="Times New Roman" w:eastAsia="Times New Roman" w:hAnsi="Times New Roman" w:cs="Times New Roman"/>
          <w:kern w:val="0"/>
          <w14:ligatures w14:val="none"/>
        </w:rPr>
        <w:t>4</w:t>
      </w:r>
      <w:r w:rsidRPr="00327B98">
        <w:rPr>
          <w:rFonts w:ascii="Times New Roman" w:eastAsia="Times New Roman" w:hAnsi="Times New Roman" w:cs="Times New Roman"/>
          <w:kern w:val="0"/>
          <w14:ligatures w14:val="none"/>
        </w:rPr>
        <w:t xml:space="preserve"> </w:t>
      </w:r>
    </w:p>
    <w:p w14:paraId="1795C4BD" w14:textId="3E1B535F"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TUESDAY AND THURSDAY PERIODS 3-</w:t>
      </w:r>
      <w:r w:rsidR="00AE4700">
        <w:rPr>
          <w:rFonts w:ascii="Times New Roman" w:eastAsia="Times New Roman" w:hAnsi="Times New Roman" w:cs="Times New Roman"/>
          <w:kern w:val="0"/>
          <w14:ligatures w14:val="none"/>
        </w:rPr>
        <w:t>4</w:t>
      </w:r>
      <w:r w:rsidRPr="00327B98">
        <w:rPr>
          <w:rFonts w:ascii="Times New Roman" w:eastAsia="Times New Roman" w:hAnsi="Times New Roman" w:cs="Times New Roman"/>
          <w:kern w:val="0"/>
          <w14:ligatures w14:val="none"/>
        </w:rPr>
        <w:t xml:space="preserve"> OR BY APPOINTMENT</w:t>
      </w:r>
    </w:p>
    <w:p w14:paraId="67A9572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The best way to reach me is through email. You do not need an appointment for walk-in office hours, but without an appointment, you may have to wait your turn.</w:t>
      </w:r>
      <w:r w:rsidRPr="00327B98">
        <w:rPr>
          <w:rFonts w:ascii="Times New Roman" w:eastAsia="Times New Roman" w:hAnsi="Times New Roman" w:cs="Times New Roman"/>
          <w:i/>
          <w:iCs/>
          <w:kern w:val="0"/>
          <w14:ligatures w14:val="none"/>
        </w:rPr>
        <w:t> </w:t>
      </w:r>
    </w:p>
    <w:p w14:paraId="6680905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Lectures and Classroom</w:t>
      </w:r>
      <w:r w:rsidRPr="00327B98">
        <w:rPr>
          <w:rFonts w:ascii="Times New Roman" w:eastAsia="Times New Roman" w:hAnsi="Times New Roman" w:cs="Times New Roman"/>
          <w:b/>
          <w:bCs/>
          <w:kern w:val="0"/>
          <w14:ligatures w14:val="none"/>
        </w:rPr>
        <w:t> </w:t>
      </w:r>
    </w:p>
    <w:p w14:paraId="6D2E1D0A"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Tuesday | Period 5-6 (11:45 PM - 1:40 PM) TUR 2336</w:t>
      </w:r>
    </w:p>
    <w:p w14:paraId="1D1CF4C2" w14:textId="1F261DE3"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Thursday | Period 6 (12:50 PM - 1:40 PM) </w:t>
      </w:r>
      <w:r w:rsidR="00797085">
        <w:rPr>
          <w:rFonts w:ascii="Times New Roman" w:eastAsia="Times New Roman" w:hAnsi="Times New Roman" w:cs="Times New Roman"/>
          <w:kern w:val="0"/>
          <w14:ligatures w14:val="none"/>
        </w:rPr>
        <w:t>MAT 0105</w:t>
      </w:r>
    </w:p>
    <w:p w14:paraId="7AE66E2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Course Description</w:t>
      </w:r>
    </w:p>
    <w:p w14:paraId="07565DB1" w14:textId="0E7F30D4" w:rsidR="00D34934" w:rsidRPr="00D34934" w:rsidRDefault="00D34934" w:rsidP="00D34934">
      <w:pPr>
        <w:spacing w:before="100" w:beforeAutospacing="1" w:after="100" w:afterAutospacing="1" w:line="240" w:lineRule="auto"/>
        <w:rPr>
          <w:rFonts w:ascii="Times New Roman" w:eastAsia="Times New Roman" w:hAnsi="Times New Roman" w:cs="Times New Roman"/>
          <w:kern w:val="0"/>
          <w14:ligatures w14:val="none"/>
        </w:rPr>
      </w:pPr>
      <w:r w:rsidRPr="00D34934">
        <w:rPr>
          <w:rFonts w:ascii="Times New Roman" w:eastAsia="Times New Roman" w:hAnsi="Times New Roman" w:cs="Times New Roman"/>
          <w:kern w:val="0"/>
          <w14:ligatures w14:val="none"/>
        </w:rPr>
        <w:t>In this course, we will trace the evolution of Greek and Roman religion from its earliest prehistoric expressions to the gradual decline of pagan traditions and the eventual emergence of Christianity. The plural “Religions” in the course title reflects the remarkable diversity of cults, practices, and theological perspectives that characterized the ancient Mediterranean world. Our investigation will draw upon a wide array of ancient evidence</w:t>
      </w:r>
      <w:r w:rsidR="004A5195">
        <w:rPr>
          <w:rFonts w:ascii="Times New Roman" w:eastAsia="Times New Roman" w:hAnsi="Times New Roman" w:cs="Times New Roman"/>
          <w:kern w:val="0"/>
          <w14:ligatures w14:val="none"/>
        </w:rPr>
        <w:t xml:space="preserve">, </w:t>
      </w:r>
      <w:r w:rsidRPr="00D34934">
        <w:rPr>
          <w:rFonts w:ascii="Times New Roman" w:eastAsia="Times New Roman" w:hAnsi="Times New Roman" w:cs="Times New Roman"/>
          <w:kern w:val="0"/>
          <w14:ligatures w14:val="none"/>
        </w:rPr>
        <w:t>literary texts, visual and material culture, inscriptions, and archaeological discoveries</w:t>
      </w:r>
      <w:r w:rsidR="004A5195">
        <w:rPr>
          <w:rFonts w:ascii="Times New Roman" w:eastAsia="Times New Roman" w:hAnsi="Times New Roman" w:cs="Times New Roman"/>
          <w:kern w:val="0"/>
          <w14:ligatures w14:val="none"/>
        </w:rPr>
        <w:t xml:space="preserve">, </w:t>
      </w:r>
      <w:r w:rsidRPr="00D34934">
        <w:rPr>
          <w:rFonts w:ascii="Times New Roman" w:eastAsia="Times New Roman" w:hAnsi="Times New Roman" w:cs="Times New Roman"/>
          <w:kern w:val="0"/>
          <w14:ligatures w14:val="none"/>
        </w:rPr>
        <w:t>to reconstruct how individuals and communities understood the divine and structured religious life.</w:t>
      </w:r>
    </w:p>
    <w:p w14:paraId="2CB325D7" w14:textId="77777777" w:rsidR="00D34934" w:rsidRDefault="00D34934" w:rsidP="00D34934">
      <w:pPr>
        <w:spacing w:before="100" w:beforeAutospacing="1" w:after="100" w:afterAutospacing="1" w:line="240" w:lineRule="auto"/>
        <w:rPr>
          <w:rFonts w:ascii="Times New Roman" w:eastAsia="Times New Roman" w:hAnsi="Times New Roman" w:cs="Times New Roman"/>
          <w:kern w:val="0"/>
          <w14:ligatures w14:val="none"/>
        </w:rPr>
      </w:pPr>
      <w:r w:rsidRPr="00D34934">
        <w:rPr>
          <w:rFonts w:ascii="Times New Roman" w:eastAsia="Times New Roman" w:hAnsi="Times New Roman" w:cs="Times New Roman"/>
          <w:kern w:val="0"/>
          <w14:ligatures w14:val="none"/>
        </w:rPr>
        <w:t>Although the course will proceed primarily in chronological order, individual lectures will highlight major thematic issues that shaped ancient religious experience, including sacred spaces and centers of worship, the distinction between popular religion and philosophical or “intellectual” religion, conceptions of death and the afterlife, apocalyptic movements and mystery cults, and the influence of Orphism and Neoplatonism. Through this multifaceted exploration, students will gain a deeper appreciation of how the religious landscape of the Greco-Roman world transformed over time and ultimately set the stage for the rise of early Christianity.</w:t>
      </w:r>
    </w:p>
    <w:p w14:paraId="1E3ACD0F" w14:textId="77777777" w:rsidR="00D34934" w:rsidRDefault="00D34934" w:rsidP="00D34934">
      <w:pPr>
        <w:spacing w:before="100" w:beforeAutospacing="1" w:after="100" w:afterAutospacing="1" w:line="240" w:lineRule="auto"/>
        <w:rPr>
          <w:rFonts w:ascii="Times New Roman" w:eastAsia="Times New Roman" w:hAnsi="Times New Roman" w:cs="Times New Roman"/>
          <w:b/>
          <w:bCs/>
          <w:color w:val="3598DB"/>
          <w:kern w:val="0"/>
          <w14:ligatures w14:val="none"/>
        </w:rPr>
      </w:pPr>
    </w:p>
    <w:p w14:paraId="4238FBCF" w14:textId="77777777" w:rsidR="00D34934" w:rsidRDefault="00D34934" w:rsidP="00D34934">
      <w:pPr>
        <w:spacing w:before="100" w:beforeAutospacing="1" w:after="100" w:afterAutospacing="1" w:line="240" w:lineRule="auto"/>
        <w:rPr>
          <w:rFonts w:ascii="Times New Roman" w:eastAsia="Times New Roman" w:hAnsi="Times New Roman" w:cs="Times New Roman"/>
          <w:b/>
          <w:bCs/>
          <w:color w:val="3598DB"/>
          <w:kern w:val="0"/>
          <w14:ligatures w14:val="none"/>
        </w:rPr>
      </w:pPr>
    </w:p>
    <w:p w14:paraId="616A0B54" w14:textId="50D97A63" w:rsidR="00327B98" w:rsidRPr="00327B98" w:rsidRDefault="00327B98" w:rsidP="00D34934">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lastRenderedPageBreak/>
        <w:t>Course Objectives</w:t>
      </w:r>
    </w:p>
    <w:p w14:paraId="3C4178CC"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explore various aspects of the Greek and Roman Religions through a variety of multi-disciplinary approaches based on the arts and humanities.</w:t>
      </w:r>
    </w:p>
    <w:p w14:paraId="76587B8D" w14:textId="2B6621D5" w:rsidR="00797085"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Upon successful completion of the course the students will accomplish the following objectives:</w:t>
      </w:r>
    </w:p>
    <w:p w14:paraId="16F8488D"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Content Objectives:</w:t>
      </w:r>
    </w:p>
    <w:p w14:paraId="4E03F9ED" w14:textId="77777777" w:rsidR="00327B98" w:rsidRPr="00327B98" w:rsidRDefault="00327B98" w:rsidP="00327B9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identify and describe the main Greek and Roman deities, their cults and sanctuaries.</w:t>
      </w:r>
    </w:p>
    <w:p w14:paraId="0997D57D" w14:textId="77777777" w:rsidR="00327B98" w:rsidRPr="00327B98" w:rsidRDefault="00327B98" w:rsidP="00327B9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examine the most relevant aspects of ancient polytheism as manifested in the Greek and Roman antiquity.</w:t>
      </w:r>
    </w:p>
    <w:p w14:paraId="20E5CE77" w14:textId="77777777" w:rsidR="00327B98" w:rsidRDefault="00327B98" w:rsidP="00327B9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evaluate ancient religious behaviors and beliefs within the social, cultural and political background of the Graeco-Roman world.</w:t>
      </w:r>
    </w:p>
    <w:p w14:paraId="37D42D31" w14:textId="5BBEA906" w:rsidR="001E5ED6" w:rsidRPr="00327B98" w:rsidRDefault="001E5ED6" w:rsidP="00327B9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1E5ED6">
        <w:rPr>
          <w:rFonts w:ascii="Times New Roman" w:eastAsia="Times New Roman" w:hAnsi="Times New Roman" w:cs="Times New Roman"/>
          <w:kern w:val="0"/>
          <w14:ligatures w14:val="none"/>
        </w:rPr>
        <w:t>Students will be able to explain the historical, cultural, and religious factors that shaped the arrival and early spread of Christianity in the Greco-Roman world, including its interaction with existing pagan traditions, philosophical schools, and social structures.</w:t>
      </w:r>
    </w:p>
    <w:p w14:paraId="2B2E6B9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Communication Objectives:</w:t>
      </w:r>
    </w:p>
    <w:p w14:paraId="2EE2812F" w14:textId="77777777" w:rsidR="00327B98" w:rsidRPr="00327B98" w:rsidRDefault="00327B98" w:rsidP="00327B9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communicate their knowledge, thoughts, and reasoning about the ancient Greek and Roman polytheistic religions clearly and affectively in written and oral form through the class assignments.</w:t>
      </w:r>
    </w:p>
    <w:p w14:paraId="4282AF2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Critical Thinking Objectives:</w:t>
      </w:r>
    </w:p>
    <w:p w14:paraId="2A876003" w14:textId="77777777" w:rsidR="00327B98" w:rsidRPr="00327B98" w:rsidRDefault="00327B98" w:rsidP="00327B9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analyze opposite points of view concerning the ancient Greek and Roman religions and interpret and evaluate relevant sources.</w:t>
      </w:r>
    </w:p>
    <w:p w14:paraId="267B26F0" w14:textId="77777777" w:rsidR="00327B98" w:rsidRPr="00327B98" w:rsidRDefault="00327B98" w:rsidP="00327B9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will be able to compare critically the Greek and Roman polytheistic traditions with modern monotheistic religions.</w:t>
      </w:r>
    </w:p>
    <w:p w14:paraId="5D91827A"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General Education Credit</w:t>
      </w:r>
    </w:p>
    <w:p w14:paraId="3247727D" w14:textId="04589A63" w:rsidR="00327B98" w:rsidRPr="00327B98" w:rsidRDefault="00327B98" w:rsidP="00327B9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w:t>
      </w:r>
      <w:r w:rsidRPr="00327B98">
        <w:rPr>
          <w:rFonts w:ascii="Times New Roman" w:eastAsia="Times New Roman" w:hAnsi="Times New Roman" w:cs="Times New Roman"/>
          <w:kern w:val="0"/>
          <w14:ligatures w14:val="none"/>
        </w:rPr>
        <w:t>International</w:t>
      </w:r>
    </w:p>
    <w:p w14:paraId="6C74717B" w14:textId="4BEB562D"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This course accomplishes the </w:t>
      </w:r>
      <w:hyperlink r:id="rId8" w:tgtFrame="_blank" w:history="1">
        <w:r w:rsidRPr="00327B98">
          <w:rPr>
            <w:rFonts w:ascii="Times New Roman" w:eastAsia="Times New Roman" w:hAnsi="Times New Roman" w:cs="Times New Roman"/>
            <w:color w:val="0000FF"/>
            <w:kern w:val="0"/>
            <w:u w:val="single"/>
            <w14:ligatures w14:val="none"/>
          </w:rPr>
          <w:t>General Ed</w:t>
        </w:r>
        <w:r w:rsidRPr="00327B98">
          <w:rPr>
            <w:rFonts w:ascii="Times New Roman" w:eastAsia="Times New Roman" w:hAnsi="Times New Roman" w:cs="Times New Roman"/>
            <w:color w:val="0000FF"/>
            <w:kern w:val="0"/>
            <w:u w:val="single"/>
            <w14:ligatures w14:val="none"/>
          </w:rPr>
          <w:t>u</w:t>
        </w:r>
        <w:r w:rsidRPr="00327B98">
          <w:rPr>
            <w:rFonts w:ascii="Times New Roman" w:eastAsia="Times New Roman" w:hAnsi="Times New Roman" w:cs="Times New Roman"/>
            <w:color w:val="0000FF"/>
            <w:kern w:val="0"/>
            <w:u w:val="single"/>
            <w14:ligatures w14:val="none"/>
          </w:rPr>
          <w:t xml:space="preserve">cation </w:t>
        </w:r>
      </w:hyperlink>
      <w:r w:rsidRPr="00327B98">
        <w:rPr>
          <w:rFonts w:ascii="Times New Roman" w:eastAsia="Times New Roman" w:hAnsi="Times New Roman" w:cs="Times New Roman"/>
          <w:kern w:val="0"/>
          <w14:ligatures w14:val="none"/>
        </w:rPr>
        <w:t>objectives of the subject area listed above. A minimum grade of C is required for General Education credit. Courses intended to satisfy General Education requirements cannot be taken S-U.</w:t>
      </w:r>
    </w:p>
    <w:p w14:paraId="4A326CE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Texts</w:t>
      </w:r>
    </w:p>
    <w:p w14:paraId="0B889F1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Required:</w:t>
      </w:r>
    </w:p>
    <w:p w14:paraId="134B8ED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(Cambridge, 1999).</w:t>
      </w:r>
    </w:p>
    <w:p w14:paraId="54B3C05F"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lastRenderedPageBreak/>
        <w:t>ISBN-10: 0521388678</w:t>
      </w:r>
    </w:p>
    <w:p w14:paraId="0EE7D66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Additional readings and materials are available on the course site on canvas.</w:t>
      </w:r>
    </w:p>
    <w:p w14:paraId="6F19EC3C"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Assignments and Requirements</w:t>
      </w:r>
      <w:r w:rsidRPr="00327B98">
        <w:rPr>
          <w:rFonts w:ascii="Times New Roman" w:eastAsia="Times New Roman" w:hAnsi="Times New Roman" w:cs="Times New Roman"/>
          <w:b/>
          <w:bCs/>
          <w:kern w:val="0"/>
          <w14:ligatures w14:val="none"/>
        </w:rPr>
        <w:t> </w:t>
      </w:r>
    </w:p>
    <w:tbl>
      <w:tblPr>
        <w:tblW w:w="7432" w:type="dxa"/>
        <w:tblCellSpacing w:w="15" w:type="dxa"/>
        <w:tblCellMar>
          <w:top w:w="15" w:type="dxa"/>
          <w:left w:w="15" w:type="dxa"/>
          <w:bottom w:w="15" w:type="dxa"/>
          <w:right w:w="15" w:type="dxa"/>
        </w:tblCellMar>
        <w:tblLook w:val="04A0" w:firstRow="1" w:lastRow="0" w:firstColumn="1" w:lastColumn="0" w:noHBand="0" w:noVBand="1"/>
      </w:tblPr>
      <w:tblGrid>
        <w:gridCol w:w="1489"/>
        <w:gridCol w:w="3802"/>
        <w:gridCol w:w="2141"/>
      </w:tblGrid>
      <w:tr w:rsidR="004152BC" w:rsidRPr="00327B98" w14:paraId="3EF9C13B" w14:textId="77777777" w:rsidTr="004152BC">
        <w:trPr>
          <w:trHeight w:val="795"/>
          <w:tblCellSpacing w:w="15" w:type="dxa"/>
        </w:trPr>
        <w:tc>
          <w:tcPr>
            <w:tcW w:w="1429" w:type="dxa"/>
            <w:vAlign w:val="center"/>
            <w:hideMark/>
          </w:tcPr>
          <w:p w14:paraId="5088B56E"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Assignment</w:t>
            </w:r>
          </w:p>
        </w:tc>
        <w:tc>
          <w:tcPr>
            <w:tcW w:w="3781" w:type="dxa"/>
            <w:vAlign w:val="center"/>
            <w:hideMark/>
          </w:tcPr>
          <w:p w14:paraId="27A50B90" w14:textId="1E37AAE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Assignment Description</w:t>
            </w:r>
            <w:r>
              <w:rPr>
                <w:rFonts w:ascii="Times New Roman" w:eastAsia="Times New Roman" w:hAnsi="Times New Roman" w:cs="Times New Roman"/>
                <w:b/>
                <w:bCs/>
                <w:kern w:val="0"/>
                <w14:ligatures w14:val="none"/>
              </w:rPr>
              <w:t xml:space="preserve">   </w:t>
            </w:r>
          </w:p>
        </w:tc>
        <w:tc>
          <w:tcPr>
            <w:tcW w:w="2102" w:type="dxa"/>
            <w:vAlign w:val="center"/>
            <w:hideMark/>
          </w:tcPr>
          <w:p w14:paraId="01B95B8C" w14:textId="06590329"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Pr="00327B98">
              <w:rPr>
                <w:rFonts w:ascii="Times New Roman" w:eastAsia="Times New Roman" w:hAnsi="Times New Roman" w:cs="Times New Roman"/>
                <w:b/>
                <w:bCs/>
                <w:kern w:val="0"/>
                <w14:ligatures w14:val="none"/>
              </w:rPr>
              <w:t>Points</w:t>
            </w:r>
          </w:p>
        </w:tc>
      </w:tr>
      <w:tr w:rsidR="004152BC" w:rsidRPr="00327B98" w14:paraId="02423789" w14:textId="77777777" w:rsidTr="004152BC">
        <w:trPr>
          <w:trHeight w:val="1875"/>
          <w:tblCellSpacing w:w="15" w:type="dxa"/>
        </w:trPr>
        <w:tc>
          <w:tcPr>
            <w:tcW w:w="1429" w:type="dxa"/>
            <w:vAlign w:val="center"/>
            <w:hideMark/>
          </w:tcPr>
          <w:p w14:paraId="0E76D732"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Online and In-Class Discussion Activities</w:t>
            </w:r>
          </w:p>
        </w:tc>
        <w:tc>
          <w:tcPr>
            <w:tcW w:w="3781" w:type="dxa"/>
            <w:vAlign w:val="center"/>
            <w:hideMark/>
          </w:tcPr>
          <w:p w14:paraId="002A4CB8" w14:textId="58A42753"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Participate in the topic and answer the question(s) posted in the discussions.</w:t>
            </w:r>
            <w:r w:rsidR="00FA0FE1" w:rsidRPr="00290DA2">
              <w:rPr>
                <w:rFonts w:ascii="Times New Roman" w:eastAsia="Times New Roman" w:hAnsi="Times New Roman" w:cs="Times New Roman"/>
                <w:i/>
                <w:iCs/>
                <w:kern w:val="0"/>
                <w14:ligatures w14:val="none"/>
              </w:rPr>
              <w:t xml:space="preserve"> </w:t>
            </w:r>
          </w:p>
        </w:tc>
        <w:tc>
          <w:tcPr>
            <w:tcW w:w="2102" w:type="dxa"/>
            <w:vAlign w:val="center"/>
            <w:hideMark/>
          </w:tcPr>
          <w:p w14:paraId="71CDE11E" w14:textId="309DD348"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Pr="00327B98">
              <w:rPr>
                <w:rFonts w:ascii="Times New Roman" w:eastAsia="Times New Roman" w:hAnsi="Times New Roman" w:cs="Times New Roman"/>
                <w:b/>
                <w:bCs/>
                <w:kern w:val="0"/>
                <w14:ligatures w14:val="none"/>
              </w:rPr>
              <w:t>150</w:t>
            </w:r>
          </w:p>
        </w:tc>
      </w:tr>
      <w:tr w:rsidR="004152BC" w:rsidRPr="00327B98" w14:paraId="073123A6" w14:textId="77777777" w:rsidTr="004152BC">
        <w:trPr>
          <w:trHeight w:val="2595"/>
          <w:tblCellSpacing w:w="15" w:type="dxa"/>
        </w:trPr>
        <w:tc>
          <w:tcPr>
            <w:tcW w:w="1429" w:type="dxa"/>
            <w:vAlign w:val="center"/>
            <w:hideMark/>
          </w:tcPr>
          <w:p w14:paraId="41593964" w14:textId="72720CBA"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Examination</w:t>
            </w:r>
            <w:r w:rsidR="00D32007">
              <w:rPr>
                <w:rFonts w:ascii="Times New Roman" w:eastAsia="Times New Roman" w:hAnsi="Times New Roman" w:cs="Times New Roman"/>
                <w:b/>
                <w:bCs/>
                <w:kern w:val="0"/>
                <w14:ligatures w14:val="none"/>
              </w:rPr>
              <w:t>s</w:t>
            </w:r>
          </w:p>
        </w:tc>
        <w:tc>
          <w:tcPr>
            <w:tcW w:w="3781" w:type="dxa"/>
            <w:vAlign w:val="center"/>
            <w:hideMark/>
          </w:tcPr>
          <w:p w14:paraId="16FB9B22" w14:textId="2C8578F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Two forty-five-minute Exams in lecture on </w:t>
            </w:r>
            <w:r w:rsidRPr="00327B98">
              <w:rPr>
                <w:rFonts w:ascii="Times New Roman" w:eastAsia="Times New Roman" w:hAnsi="Times New Roman" w:cs="Times New Roman"/>
                <w:b/>
                <w:bCs/>
                <w:color w:val="E03E2D"/>
                <w:kern w:val="0"/>
                <w14:ligatures w14:val="none"/>
              </w:rPr>
              <w:t xml:space="preserve">Tuesday, March </w:t>
            </w:r>
            <w:r w:rsidR="00FA5047">
              <w:rPr>
                <w:rFonts w:ascii="Times New Roman" w:eastAsia="Times New Roman" w:hAnsi="Times New Roman" w:cs="Times New Roman"/>
                <w:b/>
                <w:bCs/>
                <w:color w:val="E03E2D"/>
                <w:kern w:val="0"/>
                <w14:ligatures w14:val="none"/>
              </w:rPr>
              <w:t>3</w:t>
            </w:r>
            <w:r w:rsidRPr="00327B98">
              <w:rPr>
                <w:rFonts w:ascii="Times New Roman" w:eastAsia="Times New Roman" w:hAnsi="Times New Roman" w:cs="Times New Roman"/>
                <w:b/>
                <w:bCs/>
                <w:color w:val="E03E2D"/>
                <w:kern w:val="0"/>
                <w14:ligatures w14:val="none"/>
              </w:rPr>
              <w:t xml:space="preserve"> </w:t>
            </w:r>
            <w:r w:rsidRPr="00327B98">
              <w:rPr>
                <w:rFonts w:ascii="Times New Roman" w:eastAsia="Times New Roman" w:hAnsi="Times New Roman" w:cs="Times New Roman"/>
                <w:kern w:val="0"/>
                <w14:ligatures w14:val="none"/>
              </w:rPr>
              <w:t>and</w:t>
            </w:r>
            <w:r w:rsidRPr="00327B98">
              <w:rPr>
                <w:rFonts w:ascii="Times New Roman" w:eastAsia="Times New Roman" w:hAnsi="Times New Roman" w:cs="Times New Roman"/>
                <w:b/>
                <w:bCs/>
                <w:kern w:val="0"/>
                <w14:ligatures w14:val="none"/>
              </w:rPr>
              <w:t xml:space="preserve"> </w:t>
            </w:r>
            <w:r w:rsidRPr="00327B98">
              <w:rPr>
                <w:rFonts w:ascii="Times New Roman" w:eastAsia="Times New Roman" w:hAnsi="Times New Roman" w:cs="Times New Roman"/>
                <w:b/>
                <w:bCs/>
                <w:color w:val="E03E2D"/>
                <w:kern w:val="0"/>
                <w14:ligatures w14:val="none"/>
              </w:rPr>
              <w:t>Tuesday April 2</w:t>
            </w:r>
            <w:r w:rsidR="006570A6">
              <w:rPr>
                <w:rFonts w:ascii="Times New Roman" w:eastAsia="Times New Roman" w:hAnsi="Times New Roman" w:cs="Times New Roman"/>
                <w:b/>
                <w:bCs/>
                <w:color w:val="E03E2D"/>
                <w:kern w:val="0"/>
                <w14:ligatures w14:val="none"/>
              </w:rPr>
              <w:t>1</w:t>
            </w:r>
            <w:r w:rsidRPr="00327B98">
              <w:rPr>
                <w:rFonts w:ascii="Times New Roman" w:eastAsia="Times New Roman" w:hAnsi="Times New Roman" w:cs="Times New Roman"/>
                <w:kern w:val="0"/>
                <w14:ligatures w14:val="none"/>
              </w:rPr>
              <w:t>. The exams will be based on the course material and the format will be as follows: a) 80 Multiple Choice Questions b) Five Key term short analysis</w:t>
            </w:r>
            <w:r w:rsidR="00FA0FE1">
              <w:rPr>
                <w:rFonts w:ascii="Times New Roman" w:eastAsia="Times New Roman" w:hAnsi="Times New Roman" w:cs="Times New Roman"/>
                <w:kern w:val="0"/>
                <w14:ligatures w14:val="none"/>
              </w:rPr>
              <w:t xml:space="preserve"> </w:t>
            </w:r>
          </w:p>
        </w:tc>
        <w:tc>
          <w:tcPr>
            <w:tcW w:w="2102" w:type="dxa"/>
            <w:vAlign w:val="center"/>
            <w:hideMark/>
          </w:tcPr>
          <w:p w14:paraId="4D7B1DC0" w14:textId="0ADB3D53" w:rsidR="004152BC" w:rsidRPr="00327B98" w:rsidRDefault="00797085"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006570A6">
              <w:rPr>
                <w:rFonts w:ascii="Times New Roman" w:eastAsia="Times New Roman" w:hAnsi="Times New Roman" w:cs="Times New Roman"/>
                <w:b/>
                <w:bCs/>
                <w:kern w:val="0"/>
                <w14:ligatures w14:val="none"/>
              </w:rPr>
              <w:t xml:space="preserve"> </w:t>
            </w:r>
            <w:r w:rsidR="004152BC" w:rsidRPr="00327B98">
              <w:rPr>
                <w:rFonts w:ascii="Times New Roman" w:eastAsia="Times New Roman" w:hAnsi="Times New Roman" w:cs="Times New Roman"/>
                <w:b/>
                <w:bCs/>
                <w:kern w:val="0"/>
                <w14:ligatures w14:val="none"/>
              </w:rPr>
              <w:t>500</w:t>
            </w:r>
          </w:p>
        </w:tc>
      </w:tr>
      <w:tr w:rsidR="004152BC" w:rsidRPr="00327B98" w14:paraId="17B3C3A1" w14:textId="77777777" w:rsidTr="004152BC">
        <w:trPr>
          <w:trHeight w:val="3315"/>
          <w:tblCellSpacing w:w="15" w:type="dxa"/>
        </w:trPr>
        <w:tc>
          <w:tcPr>
            <w:tcW w:w="1429" w:type="dxa"/>
            <w:vAlign w:val="center"/>
            <w:hideMark/>
          </w:tcPr>
          <w:p w14:paraId="03314311"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Quizzes</w:t>
            </w:r>
          </w:p>
        </w:tc>
        <w:tc>
          <w:tcPr>
            <w:tcW w:w="3781" w:type="dxa"/>
            <w:vAlign w:val="center"/>
            <w:hideMark/>
          </w:tcPr>
          <w:p w14:paraId="13E699A7" w14:textId="177E5F18"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There will be regular quizzes during the semester based on course readings and class discussion and lectures. The format will be a combination of short answer, multiple-choice, and fill in the blank questions.  These will not be difficult but will be intended to test whether you have done the readings and are prepared for class.</w:t>
            </w:r>
          </w:p>
        </w:tc>
        <w:tc>
          <w:tcPr>
            <w:tcW w:w="2102" w:type="dxa"/>
            <w:vAlign w:val="center"/>
            <w:hideMark/>
          </w:tcPr>
          <w:p w14:paraId="10A1512C" w14:textId="15B99023" w:rsidR="004152BC" w:rsidRPr="00327B98" w:rsidRDefault="006570A6"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004152BC" w:rsidRPr="00327B98">
              <w:rPr>
                <w:rFonts w:ascii="Times New Roman" w:eastAsia="Times New Roman" w:hAnsi="Times New Roman" w:cs="Times New Roman"/>
                <w:b/>
                <w:bCs/>
                <w:kern w:val="0"/>
                <w14:ligatures w14:val="none"/>
              </w:rPr>
              <w:t>150</w:t>
            </w:r>
          </w:p>
        </w:tc>
      </w:tr>
      <w:tr w:rsidR="004152BC" w:rsidRPr="00327B98" w14:paraId="7EA2BB03" w14:textId="77777777" w:rsidTr="004152BC">
        <w:trPr>
          <w:trHeight w:val="2595"/>
          <w:tblCellSpacing w:w="15" w:type="dxa"/>
        </w:trPr>
        <w:tc>
          <w:tcPr>
            <w:tcW w:w="1429" w:type="dxa"/>
            <w:vAlign w:val="center"/>
            <w:hideMark/>
          </w:tcPr>
          <w:p w14:paraId="6664A544"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lastRenderedPageBreak/>
              <w:t>Reflection Activities</w:t>
            </w:r>
          </w:p>
        </w:tc>
        <w:tc>
          <w:tcPr>
            <w:tcW w:w="3781" w:type="dxa"/>
            <w:vAlign w:val="center"/>
            <w:hideMark/>
          </w:tcPr>
          <w:p w14:paraId="3E25213B" w14:textId="6612DA82"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These activities will give you the opportunity to reflect and make connections between the concepts discussed in the class and your own personal experiences and histories, work experience, personal relations, family interactions, etc.</w:t>
            </w:r>
            <w:r w:rsidR="00FA0FE1" w:rsidRPr="00290DA2">
              <w:rPr>
                <w:rFonts w:ascii="Times New Roman" w:eastAsia="Times New Roman" w:hAnsi="Times New Roman" w:cs="Times New Roman"/>
                <w:i/>
                <w:iCs/>
                <w:kern w:val="0"/>
                <w14:ligatures w14:val="none"/>
              </w:rPr>
              <w:t xml:space="preserve"> </w:t>
            </w:r>
          </w:p>
        </w:tc>
        <w:tc>
          <w:tcPr>
            <w:tcW w:w="2102" w:type="dxa"/>
            <w:vAlign w:val="center"/>
            <w:hideMark/>
          </w:tcPr>
          <w:p w14:paraId="3178B41E" w14:textId="14C99DDB" w:rsidR="004152BC" w:rsidRPr="00327B98" w:rsidRDefault="006570A6"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004152BC" w:rsidRPr="00327B98">
              <w:rPr>
                <w:rFonts w:ascii="Times New Roman" w:eastAsia="Times New Roman" w:hAnsi="Times New Roman" w:cs="Times New Roman"/>
                <w:b/>
                <w:bCs/>
                <w:kern w:val="0"/>
                <w14:ligatures w14:val="none"/>
              </w:rPr>
              <w:t>100</w:t>
            </w:r>
          </w:p>
        </w:tc>
      </w:tr>
      <w:tr w:rsidR="004152BC" w:rsidRPr="00327B98" w14:paraId="01138069" w14:textId="77777777" w:rsidTr="004152BC">
        <w:trPr>
          <w:trHeight w:val="795"/>
          <w:tblCellSpacing w:w="15" w:type="dxa"/>
        </w:trPr>
        <w:tc>
          <w:tcPr>
            <w:tcW w:w="1429" w:type="dxa"/>
            <w:vAlign w:val="center"/>
            <w:hideMark/>
          </w:tcPr>
          <w:p w14:paraId="43ED534E"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Attendance</w:t>
            </w:r>
          </w:p>
        </w:tc>
        <w:tc>
          <w:tcPr>
            <w:tcW w:w="3781" w:type="dxa"/>
            <w:vAlign w:val="center"/>
            <w:hideMark/>
          </w:tcPr>
          <w:p w14:paraId="02A1C2DD"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Attendance in lecture</w:t>
            </w:r>
          </w:p>
        </w:tc>
        <w:tc>
          <w:tcPr>
            <w:tcW w:w="2102" w:type="dxa"/>
            <w:vAlign w:val="center"/>
            <w:hideMark/>
          </w:tcPr>
          <w:p w14:paraId="12BD3E80" w14:textId="07F31DC4" w:rsidR="004152BC" w:rsidRPr="00327B98" w:rsidRDefault="006570A6"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              </w:t>
            </w:r>
            <w:r w:rsidR="004152BC" w:rsidRPr="00327B98">
              <w:rPr>
                <w:rFonts w:ascii="Times New Roman" w:eastAsia="Times New Roman" w:hAnsi="Times New Roman" w:cs="Times New Roman"/>
                <w:b/>
                <w:bCs/>
                <w:kern w:val="0"/>
                <w14:ligatures w14:val="none"/>
              </w:rPr>
              <w:t>100</w:t>
            </w:r>
          </w:p>
        </w:tc>
      </w:tr>
      <w:tr w:rsidR="004152BC" w:rsidRPr="00327B98" w14:paraId="4FC02D50" w14:textId="77777777" w:rsidTr="004152BC">
        <w:trPr>
          <w:trHeight w:val="1335"/>
          <w:tblCellSpacing w:w="15" w:type="dxa"/>
        </w:trPr>
        <w:tc>
          <w:tcPr>
            <w:tcW w:w="1429" w:type="dxa"/>
            <w:vAlign w:val="center"/>
            <w:hideMark/>
          </w:tcPr>
          <w:p w14:paraId="6431E055"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w:t>
            </w:r>
          </w:p>
          <w:p w14:paraId="687812D1"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Total Points</w:t>
            </w:r>
          </w:p>
        </w:tc>
        <w:tc>
          <w:tcPr>
            <w:tcW w:w="3781" w:type="dxa"/>
            <w:vAlign w:val="center"/>
            <w:hideMark/>
          </w:tcPr>
          <w:p w14:paraId="6176BD7B"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w:t>
            </w:r>
          </w:p>
        </w:tc>
        <w:tc>
          <w:tcPr>
            <w:tcW w:w="2102" w:type="dxa"/>
            <w:vAlign w:val="center"/>
            <w:hideMark/>
          </w:tcPr>
          <w:p w14:paraId="2350048E" w14:textId="451E24DB"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w:t>
            </w:r>
          </w:p>
          <w:p w14:paraId="4FCB9281" w14:textId="77777777" w:rsidR="004152BC" w:rsidRPr="00327B98" w:rsidRDefault="004152BC"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1000</w:t>
            </w:r>
          </w:p>
        </w:tc>
      </w:tr>
    </w:tbl>
    <w:p w14:paraId="1A9736B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Grading Scale and Assignment Summary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tblGrid>
      <w:tr w:rsidR="00327B98" w:rsidRPr="00327B98" w14:paraId="4847584C" w14:textId="77777777" w:rsidTr="00327B98">
        <w:trPr>
          <w:tblCellSpacing w:w="15" w:type="dxa"/>
        </w:trPr>
        <w:tc>
          <w:tcPr>
            <w:tcW w:w="3360" w:type="dxa"/>
            <w:vAlign w:val="center"/>
            <w:hideMark/>
          </w:tcPr>
          <w:p w14:paraId="361B16D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Assignment Weights</w:t>
            </w:r>
          </w:p>
        </w:tc>
      </w:tr>
      <w:tr w:rsidR="00327B98" w:rsidRPr="00327B98" w14:paraId="1D94E9DE" w14:textId="77777777" w:rsidTr="00327B98">
        <w:trPr>
          <w:tblCellSpacing w:w="15" w:type="dxa"/>
        </w:trPr>
        <w:tc>
          <w:tcPr>
            <w:tcW w:w="3360" w:type="dxa"/>
            <w:vAlign w:val="center"/>
            <w:hideMark/>
          </w:tcPr>
          <w:p w14:paraId="74132590"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Attendance: 100 points (10%)</w:t>
            </w:r>
          </w:p>
        </w:tc>
      </w:tr>
      <w:tr w:rsidR="00327B98" w:rsidRPr="00327B98" w14:paraId="52E5B3DC" w14:textId="77777777" w:rsidTr="00327B98">
        <w:trPr>
          <w:tblCellSpacing w:w="15" w:type="dxa"/>
        </w:trPr>
        <w:tc>
          <w:tcPr>
            <w:tcW w:w="3360" w:type="dxa"/>
            <w:vAlign w:val="center"/>
            <w:hideMark/>
          </w:tcPr>
          <w:p w14:paraId="74DCBA5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Reflection Activities: 100 points (10%)</w:t>
            </w:r>
          </w:p>
        </w:tc>
      </w:tr>
      <w:tr w:rsidR="00327B98" w:rsidRPr="00327B98" w14:paraId="00DF7C4F" w14:textId="77777777" w:rsidTr="00327B98">
        <w:trPr>
          <w:tblCellSpacing w:w="15" w:type="dxa"/>
        </w:trPr>
        <w:tc>
          <w:tcPr>
            <w:tcW w:w="3360" w:type="dxa"/>
            <w:vAlign w:val="center"/>
            <w:hideMark/>
          </w:tcPr>
          <w:p w14:paraId="5131DC5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Discussion Activities: 150 points (15%)</w:t>
            </w:r>
          </w:p>
        </w:tc>
      </w:tr>
      <w:tr w:rsidR="00327B98" w:rsidRPr="00327B98" w14:paraId="4886D924" w14:textId="77777777" w:rsidTr="00327B98">
        <w:trPr>
          <w:tblCellSpacing w:w="15" w:type="dxa"/>
        </w:trPr>
        <w:tc>
          <w:tcPr>
            <w:tcW w:w="3360" w:type="dxa"/>
            <w:vAlign w:val="center"/>
            <w:hideMark/>
          </w:tcPr>
          <w:p w14:paraId="18B08FBC"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Exam 1: 250 points  (25%)</w:t>
            </w:r>
          </w:p>
        </w:tc>
      </w:tr>
      <w:tr w:rsidR="00327B98" w:rsidRPr="00327B98" w14:paraId="10209D3B" w14:textId="77777777" w:rsidTr="00327B98">
        <w:trPr>
          <w:tblCellSpacing w:w="15" w:type="dxa"/>
        </w:trPr>
        <w:tc>
          <w:tcPr>
            <w:tcW w:w="3360" w:type="dxa"/>
            <w:vAlign w:val="center"/>
            <w:hideMark/>
          </w:tcPr>
          <w:p w14:paraId="7845281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Exam 2: 250 points (25%)</w:t>
            </w:r>
          </w:p>
        </w:tc>
      </w:tr>
      <w:tr w:rsidR="00327B98" w:rsidRPr="00327B98" w14:paraId="05C0DAC9" w14:textId="77777777" w:rsidTr="00327B98">
        <w:trPr>
          <w:tblCellSpacing w:w="15" w:type="dxa"/>
        </w:trPr>
        <w:tc>
          <w:tcPr>
            <w:tcW w:w="3360" w:type="dxa"/>
            <w:vAlign w:val="center"/>
            <w:hideMark/>
          </w:tcPr>
          <w:p w14:paraId="4E3C98D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Quizzes 150 points (15%)</w:t>
            </w:r>
          </w:p>
        </w:tc>
      </w:tr>
      <w:tr w:rsidR="00327B98" w:rsidRPr="00327B98" w14:paraId="5FA1D488" w14:textId="77777777" w:rsidTr="00327B98">
        <w:trPr>
          <w:tblCellSpacing w:w="15" w:type="dxa"/>
        </w:trPr>
        <w:tc>
          <w:tcPr>
            <w:tcW w:w="3360" w:type="dxa"/>
            <w:vAlign w:val="center"/>
            <w:hideMark/>
          </w:tcPr>
          <w:p w14:paraId="5296009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Total: 1,000 points (100%)</w:t>
            </w:r>
          </w:p>
        </w:tc>
      </w:tr>
    </w:tbl>
    <w:p w14:paraId="5E63554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Grading Scale</w:t>
      </w:r>
    </w:p>
    <w:tbl>
      <w:tblPr>
        <w:tblW w:w="3690" w:type="dxa"/>
        <w:tblCellSpacing w:w="15" w:type="dxa"/>
        <w:tblCellMar>
          <w:top w:w="15" w:type="dxa"/>
          <w:left w:w="15" w:type="dxa"/>
          <w:bottom w:w="15" w:type="dxa"/>
          <w:right w:w="15" w:type="dxa"/>
        </w:tblCellMar>
        <w:tblLook w:val="04A0" w:firstRow="1" w:lastRow="0" w:firstColumn="1" w:lastColumn="0" w:noHBand="0" w:noVBand="1"/>
      </w:tblPr>
      <w:tblGrid>
        <w:gridCol w:w="2270"/>
        <w:gridCol w:w="1420"/>
      </w:tblGrid>
      <w:tr w:rsidR="00327B98" w:rsidRPr="00327B98" w14:paraId="1617CB72" w14:textId="77777777" w:rsidTr="00327B98">
        <w:trPr>
          <w:tblCellSpacing w:w="15" w:type="dxa"/>
        </w:trPr>
        <w:tc>
          <w:tcPr>
            <w:tcW w:w="2295" w:type="dxa"/>
            <w:vAlign w:val="center"/>
            <w:hideMark/>
          </w:tcPr>
          <w:p w14:paraId="23CB3F8A"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Percent</w:t>
            </w:r>
          </w:p>
        </w:tc>
        <w:tc>
          <w:tcPr>
            <w:tcW w:w="1410" w:type="dxa"/>
            <w:vAlign w:val="center"/>
            <w:hideMark/>
          </w:tcPr>
          <w:p w14:paraId="4751543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Grade</w:t>
            </w:r>
          </w:p>
        </w:tc>
      </w:tr>
      <w:tr w:rsidR="00327B98" w:rsidRPr="00327B98" w14:paraId="707712CE" w14:textId="77777777" w:rsidTr="00327B98">
        <w:trPr>
          <w:tblCellSpacing w:w="15" w:type="dxa"/>
        </w:trPr>
        <w:tc>
          <w:tcPr>
            <w:tcW w:w="2295" w:type="dxa"/>
            <w:vAlign w:val="center"/>
            <w:hideMark/>
          </w:tcPr>
          <w:p w14:paraId="29E4A09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90.0 – 100.0</w:t>
            </w:r>
          </w:p>
        </w:tc>
        <w:tc>
          <w:tcPr>
            <w:tcW w:w="1410" w:type="dxa"/>
            <w:vAlign w:val="center"/>
            <w:hideMark/>
          </w:tcPr>
          <w:p w14:paraId="42F29CD3"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w:t>
            </w:r>
          </w:p>
        </w:tc>
      </w:tr>
      <w:tr w:rsidR="00327B98" w:rsidRPr="00327B98" w14:paraId="0E837236" w14:textId="77777777" w:rsidTr="00327B98">
        <w:trPr>
          <w:tblCellSpacing w:w="15" w:type="dxa"/>
        </w:trPr>
        <w:tc>
          <w:tcPr>
            <w:tcW w:w="2295" w:type="dxa"/>
            <w:vAlign w:val="center"/>
            <w:hideMark/>
          </w:tcPr>
          <w:p w14:paraId="231965F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87.0 – 89.99</w:t>
            </w:r>
          </w:p>
        </w:tc>
        <w:tc>
          <w:tcPr>
            <w:tcW w:w="1410" w:type="dxa"/>
            <w:vAlign w:val="center"/>
            <w:hideMark/>
          </w:tcPr>
          <w:p w14:paraId="20699B9C"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w:t>
            </w:r>
          </w:p>
        </w:tc>
      </w:tr>
      <w:tr w:rsidR="00327B98" w:rsidRPr="00327B98" w14:paraId="5B70D419" w14:textId="77777777" w:rsidTr="00327B98">
        <w:trPr>
          <w:tblCellSpacing w:w="15" w:type="dxa"/>
        </w:trPr>
        <w:tc>
          <w:tcPr>
            <w:tcW w:w="2295" w:type="dxa"/>
            <w:vAlign w:val="center"/>
            <w:hideMark/>
          </w:tcPr>
          <w:p w14:paraId="63C1407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84.0 – 86.99</w:t>
            </w:r>
          </w:p>
        </w:tc>
        <w:tc>
          <w:tcPr>
            <w:tcW w:w="1410" w:type="dxa"/>
            <w:vAlign w:val="center"/>
            <w:hideMark/>
          </w:tcPr>
          <w:p w14:paraId="07D397BD"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B+</w:t>
            </w:r>
          </w:p>
        </w:tc>
      </w:tr>
      <w:tr w:rsidR="00327B98" w:rsidRPr="00327B98" w14:paraId="453F7601" w14:textId="77777777" w:rsidTr="00327B98">
        <w:trPr>
          <w:tblCellSpacing w:w="15" w:type="dxa"/>
        </w:trPr>
        <w:tc>
          <w:tcPr>
            <w:tcW w:w="2295" w:type="dxa"/>
            <w:vAlign w:val="center"/>
            <w:hideMark/>
          </w:tcPr>
          <w:p w14:paraId="1285A3E4"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81.0 – 83.99</w:t>
            </w:r>
          </w:p>
        </w:tc>
        <w:tc>
          <w:tcPr>
            <w:tcW w:w="1410" w:type="dxa"/>
            <w:vAlign w:val="center"/>
            <w:hideMark/>
          </w:tcPr>
          <w:p w14:paraId="2BED2F6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B</w:t>
            </w:r>
          </w:p>
        </w:tc>
      </w:tr>
      <w:tr w:rsidR="00327B98" w:rsidRPr="00327B98" w14:paraId="03D9D9CB" w14:textId="77777777" w:rsidTr="00327B98">
        <w:trPr>
          <w:tblCellSpacing w:w="15" w:type="dxa"/>
        </w:trPr>
        <w:tc>
          <w:tcPr>
            <w:tcW w:w="2295" w:type="dxa"/>
            <w:vAlign w:val="center"/>
            <w:hideMark/>
          </w:tcPr>
          <w:p w14:paraId="2E9ECF1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78.0 – 80.99</w:t>
            </w:r>
          </w:p>
        </w:tc>
        <w:tc>
          <w:tcPr>
            <w:tcW w:w="1410" w:type="dxa"/>
            <w:vAlign w:val="center"/>
            <w:hideMark/>
          </w:tcPr>
          <w:p w14:paraId="1D7A9CB0"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B-</w:t>
            </w:r>
          </w:p>
        </w:tc>
      </w:tr>
      <w:tr w:rsidR="00327B98" w:rsidRPr="00327B98" w14:paraId="4C45100B" w14:textId="77777777" w:rsidTr="00327B98">
        <w:trPr>
          <w:tblCellSpacing w:w="15" w:type="dxa"/>
        </w:trPr>
        <w:tc>
          <w:tcPr>
            <w:tcW w:w="2295" w:type="dxa"/>
            <w:vAlign w:val="center"/>
            <w:hideMark/>
          </w:tcPr>
          <w:p w14:paraId="5784E9A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75.0 – 79.99</w:t>
            </w:r>
          </w:p>
        </w:tc>
        <w:tc>
          <w:tcPr>
            <w:tcW w:w="1410" w:type="dxa"/>
            <w:vAlign w:val="center"/>
            <w:hideMark/>
          </w:tcPr>
          <w:p w14:paraId="2104B29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C+</w:t>
            </w:r>
          </w:p>
        </w:tc>
      </w:tr>
      <w:tr w:rsidR="00327B98" w:rsidRPr="00327B98" w14:paraId="1E370FF8" w14:textId="77777777" w:rsidTr="00327B98">
        <w:trPr>
          <w:tblCellSpacing w:w="15" w:type="dxa"/>
        </w:trPr>
        <w:tc>
          <w:tcPr>
            <w:tcW w:w="2295" w:type="dxa"/>
            <w:vAlign w:val="center"/>
            <w:hideMark/>
          </w:tcPr>
          <w:p w14:paraId="10855C20"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72.0 – 74.99</w:t>
            </w:r>
          </w:p>
        </w:tc>
        <w:tc>
          <w:tcPr>
            <w:tcW w:w="1410" w:type="dxa"/>
            <w:vAlign w:val="center"/>
            <w:hideMark/>
          </w:tcPr>
          <w:p w14:paraId="672C0134"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C</w:t>
            </w:r>
          </w:p>
        </w:tc>
      </w:tr>
      <w:tr w:rsidR="00327B98" w:rsidRPr="00327B98" w14:paraId="0A5EE2C8" w14:textId="77777777" w:rsidTr="00327B98">
        <w:trPr>
          <w:tblCellSpacing w:w="15" w:type="dxa"/>
        </w:trPr>
        <w:tc>
          <w:tcPr>
            <w:tcW w:w="2295" w:type="dxa"/>
            <w:vAlign w:val="center"/>
            <w:hideMark/>
          </w:tcPr>
          <w:p w14:paraId="416C5C0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69.0 – 71.99</w:t>
            </w:r>
          </w:p>
        </w:tc>
        <w:tc>
          <w:tcPr>
            <w:tcW w:w="1410" w:type="dxa"/>
            <w:vAlign w:val="center"/>
            <w:hideMark/>
          </w:tcPr>
          <w:p w14:paraId="75138EEC"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C-</w:t>
            </w:r>
          </w:p>
        </w:tc>
      </w:tr>
      <w:tr w:rsidR="00327B98" w:rsidRPr="00327B98" w14:paraId="1427C0DB" w14:textId="77777777" w:rsidTr="00327B98">
        <w:trPr>
          <w:tblCellSpacing w:w="15" w:type="dxa"/>
        </w:trPr>
        <w:tc>
          <w:tcPr>
            <w:tcW w:w="2295" w:type="dxa"/>
            <w:vAlign w:val="center"/>
            <w:hideMark/>
          </w:tcPr>
          <w:p w14:paraId="752ECD7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lastRenderedPageBreak/>
              <w:t>66.0 – 68.99</w:t>
            </w:r>
          </w:p>
        </w:tc>
        <w:tc>
          <w:tcPr>
            <w:tcW w:w="1410" w:type="dxa"/>
            <w:vAlign w:val="center"/>
            <w:hideMark/>
          </w:tcPr>
          <w:p w14:paraId="1F8D8B5A"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D+</w:t>
            </w:r>
          </w:p>
        </w:tc>
      </w:tr>
      <w:tr w:rsidR="00327B98" w:rsidRPr="00327B98" w14:paraId="376BF750" w14:textId="77777777" w:rsidTr="00327B98">
        <w:trPr>
          <w:tblCellSpacing w:w="15" w:type="dxa"/>
        </w:trPr>
        <w:tc>
          <w:tcPr>
            <w:tcW w:w="2295" w:type="dxa"/>
            <w:vAlign w:val="center"/>
            <w:hideMark/>
          </w:tcPr>
          <w:p w14:paraId="541E5E2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63.0 – 65.99</w:t>
            </w:r>
          </w:p>
        </w:tc>
        <w:tc>
          <w:tcPr>
            <w:tcW w:w="1410" w:type="dxa"/>
            <w:vAlign w:val="center"/>
            <w:hideMark/>
          </w:tcPr>
          <w:p w14:paraId="2C0E309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D</w:t>
            </w:r>
          </w:p>
        </w:tc>
      </w:tr>
      <w:tr w:rsidR="00327B98" w:rsidRPr="00327B98" w14:paraId="6B0407FE" w14:textId="77777777" w:rsidTr="00327B98">
        <w:trPr>
          <w:tblCellSpacing w:w="15" w:type="dxa"/>
        </w:trPr>
        <w:tc>
          <w:tcPr>
            <w:tcW w:w="2295" w:type="dxa"/>
            <w:vAlign w:val="center"/>
            <w:hideMark/>
          </w:tcPr>
          <w:p w14:paraId="43FB90B4"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60.0 – 62.99</w:t>
            </w:r>
          </w:p>
        </w:tc>
        <w:tc>
          <w:tcPr>
            <w:tcW w:w="1410" w:type="dxa"/>
            <w:vAlign w:val="center"/>
            <w:hideMark/>
          </w:tcPr>
          <w:p w14:paraId="24EB1EA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D-</w:t>
            </w:r>
          </w:p>
        </w:tc>
      </w:tr>
      <w:tr w:rsidR="00327B98" w:rsidRPr="00327B98" w14:paraId="58057D5B" w14:textId="77777777" w:rsidTr="00327B98">
        <w:trPr>
          <w:tblCellSpacing w:w="15" w:type="dxa"/>
        </w:trPr>
        <w:tc>
          <w:tcPr>
            <w:tcW w:w="2295" w:type="dxa"/>
            <w:vAlign w:val="center"/>
            <w:hideMark/>
          </w:tcPr>
          <w:p w14:paraId="14B389DF"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0 – 59.99</w:t>
            </w:r>
          </w:p>
        </w:tc>
        <w:tc>
          <w:tcPr>
            <w:tcW w:w="1410" w:type="dxa"/>
            <w:vAlign w:val="center"/>
            <w:hideMark/>
          </w:tcPr>
          <w:p w14:paraId="46BCE76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E</w:t>
            </w:r>
          </w:p>
        </w:tc>
      </w:tr>
    </w:tbl>
    <w:p w14:paraId="65A6F55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i/>
          <w:iCs/>
          <w:kern w:val="0"/>
          <w14:ligatures w14:val="none"/>
        </w:rPr>
        <w:t> </w:t>
      </w:r>
    </w:p>
    <w:p w14:paraId="2205F2DD" w14:textId="1E55D8BD"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i/>
          <w:iCs/>
          <w:kern w:val="0"/>
          <w14:ligatures w14:val="none"/>
        </w:rPr>
        <w:t xml:space="preserve">For information on how UF assigns grade points, visit: </w:t>
      </w:r>
      <w:hyperlink r:id="rId9" w:tgtFrame="_blank" w:history="1">
        <w:r w:rsidRPr="00327B98">
          <w:rPr>
            <w:rFonts w:ascii="Times New Roman" w:eastAsia="Times New Roman" w:hAnsi="Times New Roman" w:cs="Times New Roman"/>
            <w:i/>
            <w:iCs/>
            <w:color w:val="0000FF"/>
            <w:kern w:val="0"/>
            <w:u w:val="single"/>
            <w14:ligatures w14:val="none"/>
          </w:rPr>
          <w:t>https://catalog.ufl.edu/UGRD/academic-regulations/grades-grading-policies/</w:t>
        </w:r>
        <w:r w:rsidRPr="00327B98">
          <w:rPr>
            <w:rFonts w:ascii="Times New Roman" w:eastAsia="Times New Roman" w:hAnsi="Times New Roman" w:cs="Times New Roman"/>
            <w:color w:val="0000FF"/>
            <w:kern w:val="0"/>
            <w:u w:val="single"/>
            <w14:ligatures w14:val="none"/>
          </w:rPr>
          <w:t xml:space="preserve"> </w:t>
        </w:r>
      </w:hyperlink>
      <w:r w:rsidRPr="00327B98">
        <w:rPr>
          <w:rFonts w:ascii="Times New Roman" w:eastAsia="Times New Roman" w:hAnsi="Times New Roman" w:cs="Times New Roman"/>
          <w:i/>
          <w:iCs/>
          <w:kern w:val="0"/>
          <w14:ligatures w14:val="none"/>
        </w:rPr>
        <w:t> </w:t>
      </w:r>
    </w:p>
    <w:p w14:paraId="5942D77C" w14:textId="77777777" w:rsid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 minimum grade of C is required for General Education credit. Courses intended to satisfy General Education requirements cannot be taken S-U.</w:t>
      </w:r>
    </w:p>
    <w:p w14:paraId="2490CD1F" w14:textId="77777777" w:rsidR="00F54882" w:rsidRDefault="00F54882" w:rsidP="00327B98">
      <w:pPr>
        <w:spacing w:before="100" w:beforeAutospacing="1" w:after="100" w:afterAutospacing="1" w:line="240" w:lineRule="auto"/>
        <w:rPr>
          <w:rFonts w:ascii="Times New Roman" w:eastAsia="Times New Roman" w:hAnsi="Times New Roman" w:cs="Times New Roman"/>
          <w:kern w:val="0"/>
          <w14:ligatures w14:val="none"/>
        </w:rPr>
      </w:pPr>
    </w:p>
    <w:p w14:paraId="62D22D5E" w14:textId="611550F1" w:rsidR="00F54882" w:rsidRDefault="00F54882" w:rsidP="00327B9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color w:val="3598DB"/>
          <w:kern w:val="0"/>
          <w14:ligatures w14:val="none"/>
        </w:rPr>
        <w:t xml:space="preserve">University </w:t>
      </w:r>
      <w:r w:rsidR="008B5F23">
        <w:rPr>
          <w:rFonts w:ascii="Times New Roman" w:eastAsia="Times New Roman" w:hAnsi="Times New Roman" w:cs="Times New Roman"/>
          <w:b/>
          <w:bCs/>
          <w:color w:val="3598DB"/>
          <w:kern w:val="0"/>
          <w14:ligatures w14:val="none"/>
        </w:rPr>
        <w:t xml:space="preserve">Academic </w:t>
      </w:r>
      <w:r w:rsidRPr="00327B98">
        <w:rPr>
          <w:rFonts w:ascii="Times New Roman" w:eastAsia="Times New Roman" w:hAnsi="Times New Roman" w:cs="Times New Roman"/>
          <w:b/>
          <w:bCs/>
          <w:color w:val="3598DB"/>
          <w:kern w:val="0"/>
          <w14:ligatures w14:val="none"/>
        </w:rPr>
        <w:t>Policies</w:t>
      </w:r>
      <w:r w:rsidR="008B5F23">
        <w:rPr>
          <w:rFonts w:ascii="Times New Roman" w:eastAsia="Times New Roman" w:hAnsi="Times New Roman" w:cs="Times New Roman"/>
          <w:b/>
          <w:bCs/>
          <w:color w:val="3598DB"/>
          <w:kern w:val="0"/>
          <w14:ligatures w14:val="none"/>
        </w:rPr>
        <w:t xml:space="preserve"> and Resources</w:t>
      </w:r>
    </w:p>
    <w:p w14:paraId="64D61941" w14:textId="77777777" w:rsidR="00F54882" w:rsidRDefault="00F54882" w:rsidP="00F548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after="200"/>
        <w:rPr>
          <w:rFonts w:ascii="Book Antiqua" w:hAnsi="Book Antiqua"/>
          <w:color w:val="000000"/>
        </w:rPr>
      </w:pPr>
      <w:r>
        <w:rPr>
          <w:rFonts w:ascii="Book Antiqua" w:hAnsi="Book Antiqua"/>
          <w:color w:val="000000"/>
        </w:rPr>
        <w:t xml:space="preserve">For a complete list of UF policies and resources, please visit: </w:t>
      </w:r>
      <w:hyperlink r:id="rId10" w:tgtFrame="_blank" w:history="1">
        <w:r w:rsidRPr="00F6443C">
          <w:rPr>
            <w:rStyle w:val="Hyperlink"/>
            <w:rFonts w:ascii="Book Antiqua" w:hAnsi="Book Antiqua"/>
          </w:rPr>
          <w:t>https://go.ufl.edu/syllabuspolicies</w:t>
        </w:r>
      </w:hyperlink>
      <w:r w:rsidRPr="00F6443C">
        <w:rPr>
          <w:rFonts w:ascii="Book Antiqua" w:hAnsi="Book Antiqua"/>
          <w:color w:val="000000"/>
        </w:rPr>
        <w:t xml:space="preserve">. </w:t>
      </w:r>
    </w:p>
    <w:p w14:paraId="191C1173" w14:textId="77777777" w:rsidR="00F54882" w:rsidRPr="00327B98" w:rsidRDefault="00F54882" w:rsidP="00327B98">
      <w:pPr>
        <w:spacing w:before="100" w:beforeAutospacing="1" w:after="100" w:afterAutospacing="1" w:line="240" w:lineRule="auto"/>
        <w:rPr>
          <w:rFonts w:ascii="Times New Roman" w:eastAsia="Times New Roman" w:hAnsi="Times New Roman" w:cs="Times New Roman"/>
          <w:kern w:val="0"/>
          <w14:ligatures w14:val="none"/>
        </w:rPr>
      </w:pPr>
    </w:p>
    <w:p w14:paraId="745189A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Attendance and Make-up Policies</w:t>
      </w:r>
    </w:p>
    <w:p w14:paraId="17CBFEF4" w14:textId="6061D8CC" w:rsidR="00E03352" w:rsidRPr="00327B98" w:rsidRDefault="00E03352" w:rsidP="00E03352">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Class attendance is required for this course and constitutes </w:t>
      </w:r>
      <w:r>
        <w:rPr>
          <w:rFonts w:ascii="Times New Roman" w:eastAsia="Times New Roman" w:hAnsi="Times New Roman" w:cs="Times New Roman"/>
          <w:b/>
          <w:bCs/>
          <w:kern w:val="0"/>
          <w14:ligatures w14:val="none"/>
        </w:rPr>
        <w:t>10</w:t>
      </w:r>
      <w:r w:rsidRPr="00327B98">
        <w:rPr>
          <w:rFonts w:ascii="Times New Roman" w:eastAsia="Times New Roman" w:hAnsi="Times New Roman" w:cs="Times New Roman"/>
          <w:b/>
          <w:bCs/>
          <w:kern w:val="0"/>
          <w14:ligatures w14:val="none"/>
        </w:rPr>
        <w:t>% of your grade.</w:t>
      </w:r>
      <w:r w:rsidRPr="00327B98">
        <w:rPr>
          <w:rFonts w:ascii="Times New Roman" w:eastAsia="Times New Roman" w:hAnsi="Times New Roman" w:cs="Times New Roman"/>
          <w:kern w:val="0"/>
          <w14:ligatures w14:val="none"/>
        </w:rPr>
        <w:t xml:space="preserve"> We will regularly circulate an attendance sheet, which you should sign.  Signing in for others is considered academic dishonesty. Repeated absences may affect your performance on exams and quizzes since they will be based on the class lectures. </w:t>
      </w:r>
    </w:p>
    <w:p w14:paraId="771AFB86" w14:textId="4F68514C"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Requirements for class attendance and make-up exams, assignments, and other work in this course are consistent with university policies</w:t>
      </w:r>
      <w:r w:rsidR="00781B1F">
        <w:rPr>
          <w:rFonts w:ascii="Times New Roman" w:eastAsia="Times New Roman" w:hAnsi="Times New Roman" w:cs="Times New Roman"/>
          <w:kern w:val="0"/>
          <w14:ligatures w14:val="none"/>
        </w:rPr>
        <w:t xml:space="preserve"> and require appropriate documentation</w:t>
      </w:r>
      <w:r w:rsidRPr="00327B98">
        <w:rPr>
          <w:rFonts w:ascii="Times New Roman" w:eastAsia="Times New Roman" w:hAnsi="Times New Roman" w:cs="Times New Roman"/>
          <w:kern w:val="0"/>
          <w14:ligatures w14:val="none"/>
        </w:rPr>
        <w:t xml:space="preserve">: </w:t>
      </w:r>
      <w:hyperlink r:id="rId11" w:tgtFrame="_blank" w:history="1">
        <w:r w:rsidRPr="00327B98">
          <w:rPr>
            <w:rFonts w:ascii="Times New Roman" w:eastAsia="Times New Roman" w:hAnsi="Times New Roman" w:cs="Times New Roman"/>
            <w:color w:val="0000FF"/>
            <w:kern w:val="0"/>
            <w:u w:val="single"/>
            <w14:ligatures w14:val="none"/>
          </w:rPr>
          <w:t xml:space="preserve">https://catalog.ufl.edu/UGRD/academic-regulations/attendance-policies/ </w:t>
        </w:r>
      </w:hyperlink>
    </w:p>
    <w:p w14:paraId="35A6F9AD"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Students are responsible for satisfying all academic objectives as defined by the instructor. Absences count from the first-class meeting.</w:t>
      </w:r>
    </w:p>
    <w:p w14:paraId="61C5418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Acceptable reasons for absence from or failure to engage in class include illness; Title IX-related situations; serious accidents or emergencies affecting the student, their roommates, or their family; special curricular requirements (e.g., judging trips, field trips, professional conferences); military obligation; severe weather conditions that prevent class participation; religious holidays; participation in official university activities (e.g., music performances, athletic competition, debate); and court-imposed legal obligations (e.g., jury duty or subpoena).</w:t>
      </w:r>
    </w:p>
    <w:p w14:paraId="676FD68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xml:space="preserve">For all planned absences, a student in a situation that allows an excused absence or make-up exam or other assignment must inform the instructor as early as possible prior to the class. For all </w:t>
      </w:r>
      <w:r w:rsidRPr="00327B98">
        <w:rPr>
          <w:rFonts w:ascii="Times New Roman" w:eastAsia="Times New Roman" w:hAnsi="Times New Roman" w:cs="Times New Roman"/>
          <w:kern w:val="0"/>
          <w14:ligatures w14:val="none"/>
        </w:rPr>
        <w:lastRenderedPageBreak/>
        <w:t>unplanned absences because of accidents or emergency situations, students should contact their instructor as soon as conditions permit.</w:t>
      </w:r>
    </w:p>
    <w:p w14:paraId="371017AA"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Student Learning Outcomes (SLOs)</w:t>
      </w:r>
    </w:p>
    <w:p w14:paraId="4E6BC7E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International (N)</w:t>
      </w:r>
    </w:p>
    <w:p w14:paraId="17E0E26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This course also meets the International (N) of the UF General Education Program. 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 After completing this course, students will be able to identify different religious theories and tenets pertaining to ancient and contemporary Europe. Students will be able to analyze and reflect on the ways in which religious beliefs influenced the social, political, and cultural history of ancient and contemporary Europe. (Assessed through reflection activities, discussion posts, quizzes, and exams.)</w:t>
      </w:r>
    </w:p>
    <w:p w14:paraId="65E73F0D" w14:textId="30100B50" w:rsidR="00327B98" w:rsidRPr="00327B98" w:rsidRDefault="00327B98" w:rsidP="00A35CFC">
      <w:pPr>
        <w:spacing w:before="100" w:beforeAutospacing="1" w:after="100" w:afterAutospacing="1" w:line="240" w:lineRule="auto"/>
        <w:jc w:val="center"/>
        <w:rPr>
          <w:rFonts w:ascii="Times New Roman" w:eastAsia="Times New Roman" w:hAnsi="Times New Roman" w:cs="Times New Roman"/>
          <w:kern w:val="0"/>
          <w14:ligatures w14:val="none"/>
        </w:rPr>
      </w:pPr>
      <w:r w:rsidRPr="00327B98">
        <w:rPr>
          <w:rFonts w:ascii="Times New Roman" w:eastAsia="Times New Roman" w:hAnsi="Times New Roman" w:cs="Times New Roman"/>
          <w:b/>
          <w:bCs/>
          <w:color w:val="3598DB"/>
          <w:kern w:val="0"/>
          <w14:ligatures w14:val="none"/>
        </w:rPr>
        <w:t>Weekly Schedule</w:t>
      </w:r>
    </w:p>
    <w:p w14:paraId="736ACEF4" w14:textId="4E880E3E"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lang w:val="fr-FR"/>
          <w14:ligatures w14:val="none"/>
        </w:rPr>
      </w:pPr>
      <w:r w:rsidRPr="00327B98">
        <w:rPr>
          <w:rFonts w:ascii="Times New Roman" w:eastAsia="Times New Roman" w:hAnsi="Times New Roman" w:cs="Times New Roman"/>
          <w:b/>
          <w:bCs/>
          <w:kern w:val="0"/>
          <w:lang w:val="fr-FR"/>
          <w14:ligatures w14:val="none"/>
        </w:rPr>
        <w:t>INTRODUCTION</w:t>
      </w:r>
      <w:r w:rsidR="007F6BCC">
        <w:rPr>
          <w:rFonts w:ascii="Times New Roman" w:eastAsia="Times New Roman" w:hAnsi="Times New Roman" w:cs="Times New Roman"/>
          <w:b/>
          <w:bCs/>
          <w:kern w:val="0"/>
          <w:lang w:val="fr-FR"/>
          <w14:ligatures w14:val="none"/>
        </w:rPr>
        <w:t xml:space="preserve"> (</w:t>
      </w:r>
      <w:r w:rsidR="0021660E">
        <w:rPr>
          <w:rFonts w:ascii="Times New Roman" w:eastAsia="Times New Roman" w:hAnsi="Times New Roman" w:cs="Times New Roman"/>
          <w:b/>
          <w:bCs/>
          <w:kern w:val="0"/>
          <w:lang w:val="fr-FR"/>
          <w14:ligatures w14:val="none"/>
        </w:rPr>
        <w:t>January 13)</w:t>
      </w:r>
    </w:p>
    <w:p w14:paraId="639262CC" w14:textId="5497332B"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lang w:val="fr-FR"/>
          <w14:ligatures w14:val="none"/>
        </w:rPr>
      </w:pPr>
      <w:r w:rsidRPr="00327B98">
        <w:rPr>
          <w:rFonts w:ascii="Times New Roman" w:eastAsia="Times New Roman" w:hAnsi="Times New Roman" w:cs="Times New Roman"/>
          <w:kern w:val="0"/>
          <w:lang w:val="fr-FR"/>
          <w14:ligatures w14:val="none"/>
        </w:rPr>
        <w:t xml:space="preserve">Orientation – Syllabus - Course Introduction </w:t>
      </w:r>
    </w:p>
    <w:p w14:paraId="01E50534" w14:textId="0F25632E"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1: UNDERSTANDING RELIGION. (January 1</w:t>
      </w:r>
      <w:r w:rsidR="001719C4">
        <w:rPr>
          <w:rFonts w:ascii="Times New Roman" w:eastAsia="Times New Roman" w:hAnsi="Times New Roman" w:cs="Times New Roman"/>
          <w:b/>
          <w:bCs/>
          <w:kern w:val="0"/>
          <w14:ligatures w14:val="none"/>
        </w:rPr>
        <w:t>5</w:t>
      </w:r>
      <w:r w:rsidRPr="00327B98">
        <w:rPr>
          <w:rFonts w:ascii="Times New Roman" w:eastAsia="Times New Roman" w:hAnsi="Times New Roman" w:cs="Times New Roman"/>
          <w:b/>
          <w:bCs/>
          <w:kern w:val="0"/>
          <w14:ligatures w14:val="none"/>
        </w:rPr>
        <w:t>-</w:t>
      </w:r>
      <w:r w:rsidR="00CF3EC0">
        <w:rPr>
          <w:rFonts w:ascii="Times New Roman" w:eastAsia="Times New Roman" w:hAnsi="Times New Roman" w:cs="Times New Roman"/>
          <w:b/>
          <w:bCs/>
          <w:kern w:val="0"/>
          <w14:ligatures w14:val="none"/>
        </w:rPr>
        <w:t>20</w:t>
      </w:r>
      <w:r w:rsidRPr="00327B98">
        <w:rPr>
          <w:rFonts w:ascii="Times New Roman" w:eastAsia="Times New Roman" w:hAnsi="Times New Roman" w:cs="Times New Roman"/>
          <w:b/>
          <w:bCs/>
          <w:kern w:val="0"/>
          <w14:ligatures w14:val="none"/>
        </w:rPr>
        <w:t>)</w:t>
      </w:r>
    </w:p>
    <w:p w14:paraId="4A054E3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Introduction. Brief Overview of the Greek and Roman World. General Characteristics of Greek Religion.</w:t>
      </w:r>
    </w:p>
    <w:p w14:paraId="48977CC3"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r w:rsidRPr="00327B98">
        <w:rPr>
          <w:rFonts w:ascii="Times New Roman" w:eastAsia="Times New Roman" w:hAnsi="Times New Roman" w:cs="Times New Roman"/>
          <w:kern w:val="0"/>
          <w14:ligatures w14:val="none"/>
        </w:rPr>
        <w:t xml:space="preserve">  </w:t>
      </w:r>
    </w:p>
    <w:p w14:paraId="769A2652" w14:textId="77777777" w:rsidR="00327B98" w:rsidRPr="00327B98" w:rsidRDefault="00327B98" w:rsidP="00327B9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Introduction</w:t>
      </w:r>
    </w:p>
    <w:p w14:paraId="12BCFDB2" w14:textId="220CA9A5"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2: MYTHOLOGY, LITERATURE AND RELIGION I (January </w:t>
      </w:r>
      <w:r w:rsidR="00CF3EC0">
        <w:rPr>
          <w:rFonts w:ascii="Times New Roman" w:eastAsia="Times New Roman" w:hAnsi="Times New Roman" w:cs="Times New Roman"/>
          <w:b/>
          <w:bCs/>
          <w:kern w:val="0"/>
          <w14:ligatures w14:val="none"/>
        </w:rPr>
        <w:t>22</w:t>
      </w:r>
      <w:r w:rsidRPr="00327B98">
        <w:rPr>
          <w:rFonts w:ascii="Times New Roman" w:eastAsia="Times New Roman" w:hAnsi="Times New Roman" w:cs="Times New Roman"/>
          <w:b/>
          <w:bCs/>
          <w:kern w:val="0"/>
          <w14:ligatures w14:val="none"/>
        </w:rPr>
        <w:t>-2</w:t>
      </w:r>
      <w:r w:rsidR="00CF3EC0">
        <w:rPr>
          <w:rFonts w:ascii="Times New Roman" w:eastAsia="Times New Roman" w:hAnsi="Times New Roman" w:cs="Times New Roman"/>
          <w:b/>
          <w:bCs/>
          <w:kern w:val="0"/>
          <w14:ligatures w14:val="none"/>
        </w:rPr>
        <w:t>7</w:t>
      </w:r>
      <w:r w:rsidRPr="00327B98">
        <w:rPr>
          <w:rFonts w:ascii="Times New Roman" w:eastAsia="Times New Roman" w:hAnsi="Times New Roman" w:cs="Times New Roman"/>
          <w:b/>
          <w:bCs/>
          <w:kern w:val="0"/>
          <w14:ligatures w14:val="none"/>
        </w:rPr>
        <w:t>)</w:t>
      </w:r>
    </w:p>
    <w:p w14:paraId="775D4A5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Religion during the Greek Bronze Age. Panhellenic Myths. Religion in Homer and Hesiod.</w:t>
      </w:r>
    </w:p>
    <w:p w14:paraId="50F9B9AE"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17552C65" w14:textId="77777777" w:rsidR="00327B98" w:rsidRPr="00327B98" w:rsidRDefault="00327B98" w:rsidP="00327B9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2, 11-19</w:t>
      </w:r>
    </w:p>
    <w:p w14:paraId="3994CC8C" w14:textId="326ED508"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3: MYTHOLOGY, LITERATURE AND RELIGION II  (January 2</w:t>
      </w:r>
      <w:r w:rsidR="0048094E">
        <w:rPr>
          <w:rFonts w:ascii="Times New Roman" w:eastAsia="Times New Roman" w:hAnsi="Times New Roman" w:cs="Times New Roman"/>
          <w:b/>
          <w:bCs/>
          <w:kern w:val="0"/>
          <w14:ligatures w14:val="none"/>
        </w:rPr>
        <w:t>3</w:t>
      </w:r>
      <w:r w:rsidRPr="00327B98">
        <w:rPr>
          <w:rFonts w:ascii="Times New Roman" w:eastAsia="Times New Roman" w:hAnsi="Times New Roman" w:cs="Times New Roman"/>
          <w:b/>
          <w:bCs/>
          <w:kern w:val="0"/>
          <w14:ligatures w14:val="none"/>
        </w:rPr>
        <w:t xml:space="preserve"> </w:t>
      </w:r>
      <w:r w:rsidR="0048094E">
        <w:rPr>
          <w:rFonts w:ascii="Times New Roman" w:eastAsia="Times New Roman" w:hAnsi="Times New Roman" w:cs="Times New Roman"/>
          <w:b/>
          <w:bCs/>
          <w:kern w:val="0"/>
          <w14:ligatures w14:val="none"/>
        </w:rPr>
        <w:t xml:space="preserve">– February </w:t>
      </w:r>
      <w:r w:rsidRPr="00327B98">
        <w:rPr>
          <w:rFonts w:ascii="Times New Roman" w:eastAsia="Times New Roman" w:hAnsi="Times New Roman" w:cs="Times New Roman"/>
          <w:b/>
          <w:bCs/>
          <w:kern w:val="0"/>
          <w14:ligatures w14:val="none"/>
        </w:rPr>
        <w:t>3)</w:t>
      </w:r>
    </w:p>
    <w:p w14:paraId="1C77F6FF"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lastRenderedPageBreak/>
        <w:t>Local Myths. The Origins of Sacrifice according to Walter Burkert.</w:t>
      </w:r>
    </w:p>
    <w:p w14:paraId="414B49D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 xml:space="preserve">Readings: </w:t>
      </w:r>
    </w:p>
    <w:p w14:paraId="005C6F3D" w14:textId="77777777" w:rsidR="00327B98" w:rsidRPr="00327B98" w:rsidRDefault="00327B98" w:rsidP="00327B9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2, 25-46</w:t>
      </w:r>
    </w:p>
    <w:p w14:paraId="75241820" w14:textId="77777777" w:rsidR="00327B98" w:rsidRPr="00327B98" w:rsidRDefault="00327B98" w:rsidP="00327B9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Kitts, Margo. “SACRIFICIAL VIOLENCE IN THE ILIAD.” Journal of Ritual Studies, vol. 16, no. 1, 2002, pp. 19–39</w:t>
      </w:r>
    </w:p>
    <w:p w14:paraId="04BE80D6" w14:textId="18C58C09"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4: PLACES OF WORSHIP – SACRED CENTERS (February </w:t>
      </w:r>
      <w:r w:rsidR="0048094E">
        <w:rPr>
          <w:rFonts w:ascii="Times New Roman" w:eastAsia="Times New Roman" w:hAnsi="Times New Roman" w:cs="Times New Roman"/>
          <w:b/>
          <w:bCs/>
          <w:kern w:val="0"/>
          <w14:ligatures w14:val="none"/>
        </w:rPr>
        <w:t>5</w:t>
      </w:r>
      <w:r w:rsidRPr="00327B98">
        <w:rPr>
          <w:rFonts w:ascii="Times New Roman" w:eastAsia="Times New Roman" w:hAnsi="Times New Roman" w:cs="Times New Roman"/>
          <w:b/>
          <w:bCs/>
          <w:kern w:val="0"/>
          <w14:ligatures w14:val="none"/>
        </w:rPr>
        <w:t>-</w:t>
      </w:r>
      <w:r w:rsidR="0048094E">
        <w:rPr>
          <w:rFonts w:ascii="Times New Roman" w:eastAsia="Times New Roman" w:hAnsi="Times New Roman" w:cs="Times New Roman"/>
          <w:b/>
          <w:bCs/>
          <w:kern w:val="0"/>
          <w14:ligatures w14:val="none"/>
        </w:rPr>
        <w:t>10</w:t>
      </w:r>
      <w:r w:rsidRPr="00327B98">
        <w:rPr>
          <w:rFonts w:ascii="Times New Roman" w:eastAsia="Times New Roman" w:hAnsi="Times New Roman" w:cs="Times New Roman"/>
          <w:b/>
          <w:bCs/>
          <w:kern w:val="0"/>
          <w14:ligatures w14:val="none"/>
        </w:rPr>
        <w:t>)</w:t>
      </w:r>
    </w:p>
    <w:p w14:paraId="1B61412D"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Greek and Roman Centers of Worship. Sanctuaries</w:t>
      </w:r>
    </w:p>
    <w:p w14:paraId="7D0E0DFF"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1F3BE7C0" w14:textId="77777777" w:rsidR="00327B98" w:rsidRPr="00327B98" w:rsidRDefault="00327B98" w:rsidP="00327B9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2, 47-66</w:t>
      </w:r>
    </w:p>
    <w:p w14:paraId="58366AD1" w14:textId="77777777" w:rsidR="00327B98" w:rsidRPr="00327B98" w:rsidRDefault="00327B98" w:rsidP="00327B9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C Morgan, “The Evolution of a Sacral ‘Landscape’: Isthmia, Perachora, and the Early Corinthian State,” in Placing the Gods: Sanctuaries and Sacred Space in Ancient Greece, ed. S. E. Alcock and R. Osborne (Oxford 1994), pp. 105-142</w:t>
      </w:r>
    </w:p>
    <w:p w14:paraId="3AACCB5D" w14:textId="2EDBDAC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5: GODS AND FESTIVALS (February </w:t>
      </w:r>
      <w:r w:rsidR="008D2FD3">
        <w:rPr>
          <w:rFonts w:ascii="Times New Roman" w:eastAsia="Times New Roman" w:hAnsi="Times New Roman" w:cs="Times New Roman"/>
          <w:b/>
          <w:bCs/>
          <w:kern w:val="0"/>
          <w14:ligatures w14:val="none"/>
        </w:rPr>
        <w:t>12</w:t>
      </w:r>
      <w:r w:rsidRPr="00327B98">
        <w:rPr>
          <w:rFonts w:ascii="Times New Roman" w:eastAsia="Times New Roman" w:hAnsi="Times New Roman" w:cs="Times New Roman"/>
          <w:b/>
          <w:bCs/>
          <w:kern w:val="0"/>
          <w14:ligatures w14:val="none"/>
        </w:rPr>
        <w:t>-1</w:t>
      </w:r>
      <w:r w:rsidR="008D2FD3">
        <w:rPr>
          <w:rFonts w:ascii="Times New Roman" w:eastAsia="Times New Roman" w:hAnsi="Times New Roman" w:cs="Times New Roman"/>
          <w:b/>
          <w:bCs/>
          <w:kern w:val="0"/>
          <w14:ligatures w14:val="none"/>
        </w:rPr>
        <w:t>7</w:t>
      </w:r>
      <w:r w:rsidRPr="00327B98">
        <w:rPr>
          <w:rFonts w:ascii="Times New Roman" w:eastAsia="Times New Roman" w:hAnsi="Times New Roman" w:cs="Times New Roman"/>
          <w:b/>
          <w:bCs/>
          <w:kern w:val="0"/>
          <w14:ligatures w14:val="none"/>
        </w:rPr>
        <w:t>)</w:t>
      </w:r>
    </w:p>
    <w:p w14:paraId="120276C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Greek Religious Calendar. Panhellenic Festivals. Athenian Festivals.</w:t>
      </w:r>
    </w:p>
    <w:p w14:paraId="0394129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62998085" w14:textId="77777777" w:rsidR="00327B98" w:rsidRPr="00327B98" w:rsidRDefault="00327B98" w:rsidP="00327B98">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2, 25-46</w:t>
      </w:r>
    </w:p>
    <w:p w14:paraId="35E45678" w14:textId="342A5C83"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6: MAGICAL PRACTICES. ORACLES AND DIVINATION (February 1</w:t>
      </w:r>
      <w:r w:rsidR="008D2FD3">
        <w:rPr>
          <w:rFonts w:ascii="Times New Roman" w:eastAsia="Times New Roman" w:hAnsi="Times New Roman" w:cs="Times New Roman"/>
          <w:b/>
          <w:bCs/>
          <w:kern w:val="0"/>
          <w14:ligatures w14:val="none"/>
        </w:rPr>
        <w:t>9</w:t>
      </w:r>
      <w:r w:rsidRPr="00327B98">
        <w:rPr>
          <w:rFonts w:ascii="Times New Roman" w:eastAsia="Times New Roman" w:hAnsi="Times New Roman" w:cs="Times New Roman"/>
          <w:b/>
          <w:bCs/>
          <w:kern w:val="0"/>
          <w14:ligatures w14:val="none"/>
        </w:rPr>
        <w:t>-2</w:t>
      </w:r>
      <w:r w:rsidR="008D2FD3">
        <w:rPr>
          <w:rFonts w:ascii="Times New Roman" w:eastAsia="Times New Roman" w:hAnsi="Times New Roman" w:cs="Times New Roman"/>
          <w:b/>
          <w:bCs/>
          <w:kern w:val="0"/>
          <w14:ligatures w14:val="none"/>
        </w:rPr>
        <w:t>4</w:t>
      </w:r>
      <w:r w:rsidRPr="00327B98">
        <w:rPr>
          <w:rFonts w:ascii="Times New Roman" w:eastAsia="Times New Roman" w:hAnsi="Times New Roman" w:cs="Times New Roman"/>
          <w:b/>
          <w:bCs/>
          <w:kern w:val="0"/>
          <w14:ligatures w14:val="none"/>
        </w:rPr>
        <w:t>)</w:t>
      </w:r>
    </w:p>
    <w:p w14:paraId="13D5FF8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Consulting the Gods. Consulting the Dead. Various Methods of Divination. Delphi and Dodona.</w:t>
      </w:r>
    </w:p>
    <w:p w14:paraId="13B7BD66"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r w:rsidRPr="00327B98">
        <w:rPr>
          <w:rFonts w:ascii="Times New Roman" w:eastAsia="Times New Roman" w:hAnsi="Times New Roman" w:cs="Times New Roman"/>
          <w:kern w:val="0"/>
          <w14:ligatures w14:val="none"/>
        </w:rPr>
        <w:t> </w:t>
      </w:r>
    </w:p>
    <w:p w14:paraId="0AE9BB1D" w14:textId="77777777" w:rsidR="00327B98" w:rsidRPr="00327B98" w:rsidRDefault="00327B98" w:rsidP="00327B98">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3, 73-81</w:t>
      </w:r>
    </w:p>
    <w:p w14:paraId="43BBFED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Review Lecture for the Upcoming Exam February 27-29</w:t>
      </w:r>
    </w:p>
    <w:p w14:paraId="1E2C0D2B" w14:textId="34970983"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color w:val="E03E2D"/>
          <w:kern w:val="0"/>
          <w:u w:val="single"/>
          <w14:ligatures w14:val="none"/>
        </w:rPr>
        <w:t xml:space="preserve">Examination 1 March </w:t>
      </w:r>
      <w:r w:rsidR="0053610F">
        <w:rPr>
          <w:rFonts w:ascii="Times New Roman" w:eastAsia="Times New Roman" w:hAnsi="Times New Roman" w:cs="Times New Roman"/>
          <w:color w:val="E03E2D"/>
          <w:kern w:val="0"/>
          <w:u w:val="single"/>
          <w14:ligatures w14:val="none"/>
        </w:rPr>
        <w:t>3</w:t>
      </w:r>
    </w:p>
    <w:p w14:paraId="1B01F1A8" w14:textId="1E6C575A"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7: MYSTERY RELIGIONS I (</w:t>
      </w:r>
      <w:r w:rsidR="00385467">
        <w:rPr>
          <w:rFonts w:ascii="Times New Roman" w:eastAsia="Times New Roman" w:hAnsi="Times New Roman" w:cs="Times New Roman"/>
          <w:b/>
          <w:bCs/>
          <w:kern w:val="0"/>
          <w14:ligatures w14:val="none"/>
        </w:rPr>
        <w:t xml:space="preserve">February </w:t>
      </w:r>
      <w:r w:rsidR="0053610F">
        <w:rPr>
          <w:rFonts w:ascii="Times New Roman" w:eastAsia="Times New Roman" w:hAnsi="Times New Roman" w:cs="Times New Roman"/>
          <w:b/>
          <w:bCs/>
          <w:kern w:val="0"/>
          <w14:ligatures w14:val="none"/>
        </w:rPr>
        <w:t>26</w:t>
      </w:r>
      <w:r w:rsidR="00385467">
        <w:rPr>
          <w:rFonts w:ascii="Times New Roman" w:eastAsia="Times New Roman" w:hAnsi="Times New Roman" w:cs="Times New Roman"/>
          <w:b/>
          <w:bCs/>
          <w:kern w:val="0"/>
          <w14:ligatures w14:val="none"/>
        </w:rPr>
        <w:t>-</w:t>
      </w:r>
      <w:r w:rsidRPr="00327B98">
        <w:rPr>
          <w:rFonts w:ascii="Times New Roman" w:eastAsia="Times New Roman" w:hAnsi="Times New Roman" w:cs="Times New Roman"/>
          <w:b/>
          <w:bCs/>
          <w:kern w:val="0"/>
          <w14:ligatures w14:val="none"/>
        </w:rPr>
        <w:t xml:space="preserve">March </w:t>
      </w:r>
      <w:r w:rsidR="004B7EF6">
        <w:rPr>
          <w:rFonts w:ascii="Times New Roman" w:eastAsia="Times New Roman" w:hAnsi="Times New Roman" w:cs="Times New Roman"/>
          <w:b/>
          <w:bCs/>
          <w:kern w:val="0"/>
          <w14:ligatures w14:val="none"/>
        </w:rPr>
        <w:t>5</w:t>
      </w:r>
      <w:r w:rsidRPr="00327B98">
        <w:rPr>
          <w:rFonts w:ascii="Times New Roman" w:eastAsia="Times New Roman" w:hAnsi="Times New Roman" w:cs="Times New Roman"/>
          <w:b/>
          <w:bCs/>
          <w:kern w:val="0"/>
          <w14:ligatures w14:val="none"/>
        </w:rPr>
        <w:t>)</w:t>
      </w:r>
    </w:p>
    <w:p w14:paraId="34A07500"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The Afterlife. The Eleusinian Mysteries. The Orphic Cult. The Pythagoreans.</w:t>
      </w:r>
    </w:p>
    <w:p w14:paraId="0AB558F8"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6A22DF02" w14:textId="77777777" w:rsidR="00327B98" w:rsidRPr="00327B98" w:rsidRDefault="00327B98" w:rsidP="00327B98">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lastRenderedPageBreak/>
        <w:t>Simon Price, Religions of the Ancient Greeks, Chapter Five 102-107</w:t>
      </w:r>
    </w:p>
    <w:p w14:paraId="56D2436A" w14:textId="739A63BC"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8: MYSTERY RELIGIONS II (March </w:t>
      </w:r>
      <w:r w:rsidR="004B7EF6">
        <w:rPr>
          <w:rFonts w:ascii="Times New Roman" w:eastAsia="Times New Roman" w:hAnsi="Times New Roman" w:cs="Times New Roman"/>
          <w:b/>
          <w:bCs/>
          <w:kern w:val="0"/>
          <w14:ligatures w14:val="none"/>
        </w:rPr>
        <w:t>10</w:t>
      </w:r>
      <w:r w:rsidRPr="00327B98">
        <w:rPr>
          <w:rFonts w:ascii="Times New Roman" w:eastAsia="Times New Roman" w:hAnsi="Times New Roman" w:cs="Times New Roman"/>
          <w:b/>
          <w:bCs/>
          <w:kern w:val="0"/>
          <w14:ligatures w14:val="none"/>
        </w:rPr>
        <w:t>-</w:t>
      </w:r>
      <w:r w:rsidR="00385467">
        <w:rPr>
          <w:rFonts w:ascii="Times New Roman" w:eastAsia="Times New Roman" w:hAnsi="Times New Roman" w:cs="Times New Roman"/>
          <w:b/>
          <w:bCs/>
          <w:kern w:val="0"/>
          <w14:ligatures w14:val="none"/>
        </w:rPr>
        <w:t>1</w:t>
      </w:r>
      <w:r w:rsidR="004B7EF6">
        <w:rPr>
          <w:rFonts w:ascii="Times New Roman" w:eastAsia="Times New Roman" w:hAnsi="Times New Roman" w:cs="Times New Roman"/>
          <w:b/>
          <w:bCs/>
          <w:kern w:val="0"/>
          <w14:ligatures w14:val="none"/>
        </w:rPr>
        <w:t>2</w:t>
      </w:r>
      <w:r w:rsidRPr="00327B98">
        <w:rPr>
          <w:rFonts w:ascii="Times New Roman" w:eastAsia="Times New Roman" w:hAnsi="Times New Roman" w:cs="Times New Roman"/>
          <w:b/>
          <w:bCs/>
          <w:kern w:val="0"/>
          <w14:ligatures w14:val="none"/>
        </w:rPr>
        <w:t>)</w:t>
      </w:r>
    </w:p>
    <w:p w14:paraId="5B7124BB"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Hellenistic Mystery Religions. Isis. The Cult of Mithras. The Apocalyptic Movement.</w:t>
      </w:r>
    </w:p>
    <w:p w14:paraId="1E9AF10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r w:rsidRPr="00327B98">
        <w:rPr>
          <w:rFonts w:ascii="Times New Roman" w:eastAsia="Times New Roman" w:hAnsi="Times New Roman" w:cs="Times New Roman"/>
          <w:kern w:val="0"/>
          <w14:ligatures w14:val="none"/>
        </w:rPr>
        <w:t xml:space="preserve"> Religions of the Ancient Greeks, Chapter Six, 108-125</w:t>
      </w:r>
    </w:p>
    <w:p w14:paraId="391C6963" w14:textId="6D677F6B"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9: PHILOSOPHY AND RELIGION (March </w:t>
      </w:r>
      <w:r w:rsidR="000949AD">
        <w:rPr>
          <w:rFonts w:ascii="Times New Roman" w:eastAsia="Times New Roman" w:hAnsi="Times New Roman" w:cs="Times New Roman"/>
          <w:b/>
          <w:bCs/>
          <w:kern w:val="0"/>
          <w14:ligatures w14:val="none"/>
        </w:rPr>
        <w:t>24</w:t>
      </w:r>
      <w:r w:rsidRPr="00327B98">
        <w:rPr>
          <w:rFonts w:ascii="Times New Roman" w:eastAsia="Times New Roman" w:hAnsi="Times New Roman" w:cs="Times New Roman"/>
          <w:b/>
          <w:bCs/>
          <w:kern w:val="0"/>
          <w14:ligatures w14:val="none"/>
        </w:rPr>
        <w:t>-2</w:t>
      </w:r>
      <w:r w:rsidR="000949AD">
        <w:rPr>
          <w:rFonts w:ascii="Times New Roman" w:eastAsia="Times New Roman" w:hAnsi="Times New Roman" w:cs="Times New Roman"/>
          <w:b/>
          <w:bCs/>
          <w:kern w:val="0"/>
          <w14:ligatures w14:val="none"/>
        </w:rPr>
        <w:t>6</w:t>
      </w:r>
      <w:r w:rsidRPr="00327B98">
        <w:rPr>
          <w:rFonts w:ascii="Times New Roman" w:eastAsia="Times New Roman" w:hAnsi="Times New Roman" w:cs="Times New Roman"/>
          <w:b/>
          <w:bCs/>
          <w:kern w:val="0"/>
          <w14:ligatures w14:val="none"/>
        </w:rPr>
        <w:t>)</w:t>
      </w:r>
    </w:p>
    <w:p w14:paraId="1203D36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Xenophanes and the Origins of Philosophical Atheism. Plato and Religion. Aristotle and the Religion of the Natural Laws. Epicurus.</w:t>
      </w:r>
    </w:p>
    <w:p w14:paraId="37D116F7"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6B6ADCB1" w14:textId="77777777" w:rsidR="00327B98" w:rsidRPr="00327B98" w:rsidRDefault="00327B98" w:rsidP="00327B98">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7</w:t>
      </w:r>
      <w:r w:rsidRPr="00327B98">
        <w:rPr>
          <w:rFonts w:ascii="Times New Roman" w:eastAsia="Times New Roman" w:hAnsi="Times New Roman" w:cs="Times New Roman"/>
          <w:b/>
          <w:bCs/>
          <w:kern w:val="0"/>
          <w14:ligatures w14:val="none"/>
        </w:rPr>
        <w:t> </w:t>
      </w:r>
    </w:p>
    <w:p w14:paraId="7DA15FC5" w14:textId="020878EA"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10: REACTIONS TO GREEK RELIGIONS (</w:t>
      </w:r>
      <w:r w:rsidR="00D7448D">
        <w:rPr>
          <w:rFonts w:ascii="Times New Roman" w:eastAsia="Times New Roman" w:hAnsi="Times New Roman" w:cs="Times New Roman"/>
          <w:b/>
          <w:bCs/>
          <w:kern w:val="0"/>
          <w14:ligatures w14:val="none"/>
        </w:rPr>
        <w:t>March</w:t>
      </w:r>
      <w:r w:rsidRPr="00327B98">
        <w:rPr>
          <w:rFonts w:ascii="Times New Roman" w:eastAsia="Times New Roman" w:hAnsi="Times New Roman" w:cs="Times New Roman"/>
          <w:b/>
          <w:bCs/>
          <w:kern w:val="0"/>
          <w14:ligatures w14:val="none"/>
        </w:rPr>
        <w:t xml:space="preserve"> </w:t>
      </w:r>
      <w:r w:rsidR="00EA599C">
        <w:rPr>
          <w:rFonts w:ascii="Times New Roman" w:eastAsia="Times New Roman" w:hAnsi="Times New Roman" w:cs="Times New Roman"/>
          <w:b/>
          <w:bCs/>
          <w:kern w:val="0"/>
          <w14:ligatures w14:val="none"/>
        </w:rPr>
        <w:t>31</w:t>
      </w:r>
      <w:r w:rsidR="000949AD">
        <w:rPr>
          <w:rFonts w:ascii="Times New Roman" w:eastAsia="Times New Roman" w:hAnsi="Times New Roman" w:cs="Times New Roman"/>
          <w:b/>
          <w:bCs/>
          <w:kern w:val="0"/>
          <w14:ligatures w14:val="none"/>
        </w:rPr>
        <w:t>-April 2</w:t>
      </w:r>
      <w:r w:rsidRPr="00327B98">
        <w:rPr>
          <w:rFonts w:ascii="Times New Roman" w:eastAsia="Times New Roman" w:hAnsi="Times New Roman" w:cs="Times New Roman"/>
          <w:b/>
          <w:bCs/>
          <w:kern w:val="0"/>
          <w14:ligatures w14:val="none"/>
        </w:rPr>
        <w:t>)</w:t>
      </w:r>
    </w:p>
    <w:p w14:paraId="32E3F0F1"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The Roman Reaction to Greek Religion. Imperial Cult.</w:t>
      </w:r>
    </w:p>
    <w:p w14:paraId="6D9F2870"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0DDF3731" w14:textId="77777777" w:rsidR="00327B98" w:rsidRPr="00327B98" w:rsidRDefault="00327B98" w:rsidP="00327B98">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8, 143-158</w:t>
      </w:r>
    </w:p>
    <w:p w14:paraId="475518DC" w14:textId="0A3E3ADD"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 xml:space="preserve">Module 11: THE ARRIVAL OF CHRISTIANITY (April </w:t>
      </w:r>
      <w:r w:rsidR="00A35CFC">
        <w:rPr>
          <w:rFonts w:ascii="Times New Roman" w:eastAsia="Times New Roman" w:hAnsi="Times New Roman" w:cs="Times New Roman"/>
          <w:b/>
          <w:bCs/>
          <w:kern w:val="0"/>
          <w14:ligatures w14:val="none"/>
        </w:rPr>
        <w:t>7</w:t>
      </w:r>
      <w:r w:rsidRPr="00327B98">
        <w:rPr>
          <w:rFonts w:ascii="Times New Roman" w:eastAsia="Times New Roman" w:hAnsi="Times New Roman" w:cs="Times New Roman"/>
          <w:b/>
          <w:bCs/>
          <w:kern w:val="0"/>
          <w14:ligatures w14:val="none"/>
        </w:rPr>
        <w:t>-</w:t>
      </w:r>
      <w:r w:rsidR="00957E4F">
        <w:rPr>
          <w:rFonts w:ascii="Times New Roman" w:eastAsia="Times New Roman" w:hAnsi="Times New Roman" w:cs="Times New Roman"/>
          <w:b/>
          <w:bCs/>
          <w:kern w:val="0"/>
          <w14:ligatures w14:val="none"/>
        </w:rPr>
        <w:t>14</w:t>
      </w:r>
      <w:r w:rsidRPr="00327B98">
        <w:rPr>
          <w:rFonts w:ascii="Times New Roman" w:eastAsia="Times New Roman" w:hAnsi="Times New Roman" w:cs="Times New Roman"/>
          <w:b/>
          <w:bCs/>
          <w:kern w:val="0"/>
          <w14:ligatures w14:val="none"/>
        </w:rPr>
        <w:t>)</w:t>
      </w:r>
    </w:p>
    <w:p w14:paraId="26A78365"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St. Paul in Athens. Greek Religion and Christianity.</w:t>
      </w:r>
    </w:p>
    <w:p w14:paraId="03687A82"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u w:val="single"/>
          <w14:ligatures w14:val="none"/>
        </w:rPr>
        <w:t>Readings:</w:t>
      </w:r>
    </w:p>
    <w:p w14:paraId="5A308546" w14:textId="77777777" w:rsidR="00327B98" w:rsidRPr="00327B98" w:rsidRDefault="00327B98" w:rsidP="00327B98">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Simon Price, Religions of the Ancient Greeks, Chapter 8, 158-171</w:t>
      </w:r>
    </w:p>
    <w:p w14:paraId="1275A32D" w14:textId="639A5C9A"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b/>
          <w:bCs/>
          <w:kern w:val="0"/>
          <w14:ligatures w14:val="none"/>
        </w:rPr>
        <w:t>Module 12: CONLUSION (April</w:t>
      </w:r>
      <w:r w:rsidR="00840CFA">
        <w:rPr>
          <w:rFonts w:ascii="Times New Roman" w:eastAsia="Times New Roman" w:hAnsi="Times New Roman" w:cs="Times New Roman"/>
          <w:b/>
          <w:bCs/>
          <w:kern w:val="0"/>
          <w14:ligatures w14:val="none"/>
        </w:rPr>
        <w:t xml:space="preserve"> </w:t>
      </w:r>
      <w:r w:rsidRPr="00327B98">
        <w:rPr>
          <w:rFonts w:ascii="Times New Roman" w:eastAsia="Times New Roman" w:hAnsi="Times New Roman" w:cs="Times New Roman"/>
          <w:b/>
          <w:bCs/>
          <w:kern w:val="0"/>
          <w14:ligatures w14:val="none"/>
        </w:rPr>
        <w:t>16)</w:t>
      </w:r>
    </w:p>
    <w:p w14:paraId="4B377B7C" w14:textId="1E24BBEC"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color w:val="E03E2D"/>
          <w:kern w:val="0"/>
          <w:u w:val="single"/>
          <w14:ligatures w14:val="none"/>
        </w:rPr>
        <w:t>Examination 2 April 2</w:t>
      </w:r>
      <w:r w:rsidR="00840CFA">
        <w:rPr>
          <w:rFonts w:ascii="Times New Roman" w:eastAsia="Times New Roman" w:hAnsi="Times New Roman" w:cs="Times New Roman"/>
          <w:color w:val="E03E2D"/>
          <w:kern w:val="0"/>
          <w:u w:val="single"/>
          <w14:ligatures w14:val="none"/>
        </w:rPr>
        <w:t>1</w:t>
      </w:r>
    </w:p>
    <w:p w14:paraId="2A891F29" w14:textId="77777777" w:rsidR="00327B98" w:rsidRPr="00327B98" w:rsidRDefault="00327B98" w:rsidP="00327B98">
      <w:pPr>
        <w:spacing w:before="100" w:beforeAutospacing="1" w:after="100" w:afterAutospacing="1" w:line="240" w:lineRule="auto"/>
        <w:rPr>
          <w:rFonts w:ascii="Times New Roman" w:eastAsia="Times New Roman" w:hAnsi="Times New Roman" w:cs="Times New Roman"/>
          <w:kern w:val="0"/>
          <w14:ligatures w14:val="none"/>
        </w:rPr>
      </w:pPr>
      <w:r w:rsidRPr="00327B98">
        <w:rPr>
          <w:rFonts w:ascii="Times New Roman" w:eastAsia="Times New Roman" w:hAnsi="Times New Roman" w:cs="Times New Roman"/>
          <w:kern w:val="0"/>
          <w14:ligatures w14:val="none"/>
        </w:rPr>
        <w:t> </w:t>
      </w:r>
    </w:p>
    <w:p w14:paraId="66ADCFAE" w14:textId="77777777" w:rsidR="00163F82" w:rsidRDefault="00163F82"/>
    <w:sectPr w:rsidR="00163F8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191DE" w14:textId="77777777" w:rsidR="0092045F" w:rsidRDefault="0092045F" w:rsidP="00D34934">
      <w:pPr>
        <w:spacing w:after="0" w:line="240" w:lineRule="auto"/>
      </w:pPr>
      <w:r>
        <w:separator/>
      </w:r>
    </w:p>
  </w:endnote>
  <w:endnote w:type="continuationSeparator" w:id="0">
    <w:p w14:paraId="7973F2EF" w14:textId="77777777" w:rsidR="0092045F" w:rsidRDefault="0092045F" w:rsidP="00D349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636117"/>
      <w:docPartObj>
        <w:docPartGallery w:val="Page Numbers (Bottom of Page)"/>
        <w:docPartUnique/>
      </w:docPartObj>
    </w:sdtPr>
    <w:sdtEndPr>
      <w:rPr>
        <w:noProof/>
      </w:rPr>
    </w:sdtEndPr>
    <w:sdtContent>
      <w:p w14:paraId="4F1C5F69" w14:textId="23C5E597" w:rsidR="00D34934" w:rsidRDefault="00D349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71B82A" w14:textId="77777777" w:rsidR="00D34934" w:rsidRDefault="00D349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03047" w14:textId="77777777" w:rsidR="0092045F" w:rsidRDefault="0092045F" w:rsidP="00D34934">
      <w:pPr>
        <w:spacing w:after="0" w:line="240" w:lineRule="auto"/>
      </w:pPr>
      <w:r>
        <w:separator/>
      </w:r>
    </w:p>
  </w:footnote>
  <w:footnote w:type="continuationSeparator" w:id="0">
    <w:p w14:paraId="6B9DF03A" w14:textId="77777777" w:rsidR="0092045F" w:rsidRDefault="0092045F" w:rsidP="00D349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1141C"/>
    <w:multiLevelType w:val="multilevel"/>
    <w:tmpl w:val="623E6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D0E64"/>
    <w:multiLevelType w:val="multilevel"/>
    <w:tmpl w:val="72B4F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97791"/>
    <w:multiLevelType w:val="multilevel"/>
    <w:tmpl w:val="A28A0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FF4A8F"/>
    <w:multiLevelType w:val="multilevel"/>
    <w:tmpl w:val="31167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A64140"/>
    <w:multiLevelType w:val="multilevel"/>
    <w:tmpl w:val="00786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A72463"/>
    <w:multiLevelType w:val="multilevel"/>
    <w:tmpl w:val="4D2C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E94A88"/>
    <w:multiLevelType w:val="multilevel"/>
    <w:tmpl w:val="FD680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991794"/>
    <w:multiLevelType w:val="multilevel"/>
    <w:tmpl w:val="6B647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B96EB9"/>
    <w:multiLevelType w:val="multilevel"/>
    <w:tmpl w:val="E070B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C142EA"/>
    <w:multiLevelType w:val="multilevel"/>
    <w:tmpl w:val="AD6A5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3F53A4"/>
    <w:multiLevelType w:val="multilevel"/>
    <w:tmpl w:val="F78A1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237904"/>
    <w:multiLevelType w:val="multilevel"/>
    <w:tmpl w:val="BFA4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8A7891"/>
    <w:multiLevelType w:val="multilevel"/>
    <w:tmpl w:val="4252A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AB5959"/>
    <w:multiLevelType w:val="multilevel"/>
    <w:tmpl w:val="D986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5665669">
    <w:abstractNumId w:val="2"/>
  </w:num>
  <w:num w:numId="2" w16cid:durableId="657345880">
    <w:abstractNumId w:val="13"/>
  </w:num>
  <w:num w:numId="3" w16cid:durableId="43989665">
    <w:abstractNumId w:val="0"/>
  </w:num>
  <w:num w:numId="4" w16cid:durableId="413432530">
    <w:abstractNumId w:val="1"/>
  </w:num>
  <w:num w:numId="5" w16cid:durableId="1267228369">
    <w:abstractNumId w:val="9"/>
  </w:num>
  <w:num w:numId="6" w16cid:durableId="1802922482">
    <w:abstractNumId w:val="7"/>
  </w:num>
  <w:num w:numId="7" w16cid:durableId="1941792384">
    <w:abstractNumId w:val="5"/>
  </w:num>
  <w:num w:numId="8" w16cid:durableId="848255213">
    <w:abstractNumId w:val="4"/>
  </w:num>
  <w:num w:numId="9" w16cid:durableId="48694116">
    <w:abstractNumId w:val="10"/>
  </w:num>
  <w:num w:numId="10" w16cid:durableId="1818835037">
    <w:abstractNumId w:val="6"/>
  </w:num>
  <w:num w:numId="11" w16cid:durableId="2043941507">
    <w:abstractNumId w:val="3"/>
  </w:num>
  <w:num w:numId="12" w16cid:durableId="1831292211">
    <w:abstractNumId w:val="11"/>
  </w:num>
  <w:num w:numId="13" w16cid:durableId="423648930">
    <w:abstractNumId w:val="12"/>
  </w:num>
  <w:num w:numId="14" w16cid:durableId="8037375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B98"/>
    <w:rsid w:val="00087EBB"/>
    <w:rsid w:val="000949AD"/>
    <w:rsid w:val="00163F82"/>
    <w:rsid w:val="001719C4"/>
    <w:rsid w:val="001E5ED6"/>
    <w:rsid w:val="0021660E"/>
    <w:rsid w:val="003037ED"/>
    <w:rsid w:val="00313E1A"/>
    <w:rsid w:val="00327B98"/>
    <w:rsid w:val="00385467"/>
    <w:rsid w:val="003C3D28"/>
    <w:rsid w:val="003D319D"/>
    <w:rsid w:val="004152BC"/>
    <w:rsid w:val="0048094E"/>
    <w:rsid w:val="00486514"/>
    <w:rsid w:val="004A5195"/>
    <w:rsid w:val="004B7EF6"/>
    <w:rsid w:val="0053610F"/>
    <w:rsid w:val="005F3F5A"/>
    <w:rsid w:val="0061509E"/>
    <w:rsid w:val="006570A6"/>
    <w:rsid w:val="007678E8"/>
    <w:rsid w:val="00781B1F"/>
    <w:rsid w:val="00797085"/>
    <w:rsid w:val="007F6BCC"/>
    <w:rsid w:val="00803C34"/>
    <w:rsid w:val="00836BC0"/>
    <w:rsid w:val="00840CFA"/>
    <w:rsid w:val="008B5F23"/>
    <w:rsid w:val="008D2FD3"/>
    <w:rsid w:val="0092045F"/>
    <w:rsid w:val="0095717E"/>
    <w:rsid w:val="00957E4F"/>
    <w:rsid w:val="00A35CFC"/>
    <w:rsid w:val="00AB5231"/>
    <w:rsid w:val="00AE4700"/>
    <w:rsid w:val="00C46387"/>
    <w:rsid w:val="00C772B6"/>
    <w:rsid w:val="00CF3EC0"/>
    <w:rsid w:val="00D32007"/>
    <w:rsid w:val="00D34934"/>
    <w:rsid w:val="00D7448D"/>
    <w:rsid w:val="00DC496D"/>
    <w:rsid w:val="00E03352"/>
    <w:rsid w:val="00E1622E"/>
    <w:rsid w:val="00EA599C"/>
    <w:rsid w:val="00F019BB"/>
    <w:rsid w:val="00F54882"/>
    <w:rsid w:val="00F62FAF"/>
    <w:rsid w:val="00FA0882"/>
    <w:rsid w:val="00FA0FE1"/>
    <w:rsid w:val="00FA5047"/>
    <w:rsid w:val="00FC7A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7125A"/>
  <w15:chartTrackingRefBased/>
  <w15:docId w15:val="{1BEC92EC-A3AB-7E40-92E1-84F68F764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7B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7B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7B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7B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7B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7B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7B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7B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7B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7B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7B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7B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7B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7B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7B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7B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7B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7B98"/>
    <w:rPr>
      <w:rFonts w:eastAsiaTheme="majorEastAsia" w:cstheme="majorBidi"/>
      <w:color w:val="272727" w:themeColor="text1" w:themeTint="D8"/>
    </w:rPr>
  </w:style>
  <w:style w:type="paragraph" w:styleId="Title">
    <w:name w:val="Title"/>
    <w:basedOn w:val="Normal"/>
    <w:next w:val="Normal"/>
    <w:link w:val="TitleChar"/>
    <w:uiPriority w:val="10"/>
    <w:qFormat/>
    <w:rsid w:val="00327B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7B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7B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7B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7B98"/>
    <w:pPr>
      <w:spacing w:before="160"/>
      <w:jc w:val="center"/>
    </w:pPr>
    <w:rPr>
      <w:i/>
      <w:iCs/>
      <w:color w:val="404040" w:themeColor="text1" w:themeTint="BF"/>
    </w:rPr>
  </w:style>
  <w:style w:type="character" w:customStyle="1" w:styleId="QuoteChar">
    <w:name w:val="Quote Char"/>
    <w:basedOn w:val="DefaultParagraphFont"/>
    <w:link w:val="Quote"/>
    <w:uiPriority w:val="29"/>
    <w:rsid w:val="00327B98"/>
    <w:rPr>
      <w:i/>
      <w:iCs/>
      <w:color w:val="404040" w:themeColor="text1" w:themeTint="BF"/>
    </w:rPr>
  </w:style>
  <w:style w:type="paragraph" w:styleId="ListParagraph">
    <w:name w:val="List Paragraph"/>
    <w:basedOn w:val="Normal"/>
    <w:uiPriority w:val="34"/>
    <w:qFormat/>
    <w:rsid w:val="00327B98"/>
    <w:pPr>
      <w:ind w:left="720"/>
      <w:contextualSpacing/>
    </w:pPr>
  </w:style>
  <w:style w:type="character" w:styleId="IntenseEmphasis">
    <w:name w:val="Intense Emphasis"/>
    <w:basedOn w:val="DefaultParagraphFont"/>
    <w:uiPriority w:val="21"/>
    <w:qFormat/>
    <w:rsid w:val="00327B98"/>
    <w:rPr>
      <w:i/>
      <w:iCs/>
      <w:color w:val="0F4761" w:themeColor="accent1" w:themeShade="BF"/>
    </w:rPr>
  </w:style>
  <w:style w:type="paragraph" w:styleId="IntenseQuote">
    <w:name w:val="Intense Quote"/>
    <w:basedOn w:val="Normal"/>
    <w:next w:val="Normal"/>
    <w:link w:val="IntenseQuoteChar"/>
    <w:uiPriority w:val="30"/>
    <w:qFormat/>
    <w:rsid w:val="00327B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7B98"/>
    <w:rPr>
      <w:i/>
      <w:iCs/>
      <w:color w:val="0F4761" w:themeColor="accent1" w:themeShade="BF"/>
    </w:rPr>
  </w:style>
  <w:style w:type="character" w:styleId="IntenseReference">
    <w:name w:val="Intense Reference"/>
    <w:basedOn w:val="DefaultParagraphFont"/>
    <w:uiPriority w:val="32"/>
    <w:qFormat/>
    <w:rsid w:val="00327B98"/>
    <w:rPr>
      <w:b/>
      <w:bCs/>
      <w:smallCaps/>
      <w:color w:val="0F4761" w:themeColor="accent1" w:themeShade="BF"/>
      <w:spacing w:val="5"/>
    </w:rPr>
  </w:style>
  <w:style w:type="paragraph" w:styleId="NormalWeb">
    <w:name w:val="Normal (Web)"/>
    <w:basedOn w:val="Normal"/>
    <w:uiPriority w:val="99"/>
    <w:semiHidden/>
    <w:unhideWhenUsed/>
    <w:rsid w:val="00327B9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27B98"/>
    <w:rPr>
      <w:b/>
      <w:bCs/>
    </w:rPr>
  </w:style>
  <w:style w:type="character" w:styleId="Hyperlink">
    <w:name w:val="Hyperlink"/>
    <w:basedOn w:val="DefaultParagraphFont"/>
    <w:uiPriority w:val="99"/>
    <w:semiHidden/>
    <w:unhideWhenUsed/>
    <w:rsid w:val="00327B98"/>
    <w:rPr>
      <w:color w:val="0000FF"/>
      <w:u w:val="single"/>
    </w:rPr>
  </w:style>
  <w:style w:type="character" w:styleId="Emphasis">
    <w:name w:val="Emphasis"/>
    <w:basedOn w:val="DefaultParagraphFont"/>
    <w:uiPriority w:val="20"/>
    <w:qFormat/>
    <w:rsid w:val="00327B98"/>
    <w:rPr>
      <w:i/>
      <w:iCs/>
    </w:rPr>
  </w:style>
  <w:style w:type="character" w:customStyle="1" w:styleId="externallinkicon">
    <w:name w:val="external_link_icon"/>
    <w:basedOn w:val="DefaultParagraphFont"/>
    <w:rsid w:val="00327B98"/>
  </w:style>
  <w:style w:type="character" w:customStyle="1" w:styleId="screenreader-only">
    <w:name w:val="screenreader-only"/>
    <w:basedOn w:val="DefaultParagraphFont"/>
    <w:rsid w:val="00327B98"/>
  </w:style>
  <w:style w:type="paragraph" w:styleId="Header">
    <w:name w:val="header"/>
    <w:basedOn w:val="Normal"/>
    <w:link w:val="HeaderChar"/>
    <w:uiPriority w:val="99"/>
    <w:unhideWhenUsed/>
    <w:rsid w:val="00D349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934"/>
  </w:style>
  <w:style w:type="paragraph" w:styleId="Footer">
    <w:name w:val="footer"/>
    <w:basedOn w:val="Normal"/>
    <w:link w:val="FooterChar"/>
    <w:uiPriority w:val="99"/>
    <w:unhideWhenUsed/>
    <w:rsid w:val="00D349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58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dergrad.aa.ufl.edu/general-education/gen-ed-program/subject-area-objectiv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kostopo@ufl.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D/academic-regulations/attendance-policies/" TargetMode="External"/><Relationship Id="rId5" Type="http://schemas.openxmlformats.org/officeDocument/2006/relationships/footnotes" Target="footnotes.xml"/><Relationship Id="rId10" Type="http://schemas.openxmlformats.org/officeDocument/2006/relationships/hyperlink" Target="https://go.ufl.edu/syllabuspolicies" TargetMode="External"/><Relationship Id="rId4" Type="http://schemas.openxmlformats.org/officeDocument/2006/relationships/webSettings" Target="webSettings.xml"/><Relationship Id="rId9" Type="http://schemas.openxmlformats.org/officeDocument/2006/relationships/hyperlink" Target="https://catalog.ufl.edu/UGRD/academic-regulations/grades-grading-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8</Pages>
  <Words>1792</Words>
  <Characters>10221</Characters>
  <Application>Microsoft Office Word</Application>
  <DocSecurity>0</DocSecurity>
  <Lines>85</Lines>
  <Paragraphs>23</Paragraphs>
  <ScaleCrop>false</ScaleCrop>
  <Company/>
  <LinksUpToDate>false</LinksUpToDate>
  <CharactersWithSpaces>11990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Christodoulopoulou,Konstantina</dc:creator>
  <cp:keywords/>
  <dc:description/>
  <cp:lastModifiedBy>Kostopoulos,Chrysostomos</cp:lastModifiedBy>
  <cp:revision>46</cp:revision>
  <dcterms:created xsi:type="dcterms:W3CDTF">2024-03-24T12:14:00Z</dcterms:created>
  <dcterms:modified xsi:type="dcterms:W3CDTF">2026-01-06T10:32:00Z</dcterms:modified>
</cp:coreProperties>
</file>